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DC4C0" w14:textId="2E5519F3" w:rsidR="00DF00F3" w:rsidRPr="00DF00F3" w:rsidRDefault="00DF00F3" w:rsidP="0024232B">
      <w:pPr>
        <w:pStyle w:val="ListParagraph"/>
        <w:spacing w:before="120" w:after="120" w:line="240" w:lineRule="auto"/>
        <w:ind w:left="714"/>
        <w:jc w:val="center"/>
        <w:rPr>
          <w:rFonts w:ascii="Arial" w:hAnsi="Arial" w:cs="Arial"/>
        </w:rPr>
      </w:pPr>
    </w:p>
    <w:p w14:paraId="788EA72E" w14:textId="77777777" w:rsidR="00665B9B" w:rsidRPr="006D2CC3" w:rsidRDefault="00665B9B" w:rsidP="008A1032">
      <w:pPr>
        <w:spacing w:before="120" w:after="12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6D2CC3">
        <w:rPr>
          <w:rFonts w:ascii="Arial" w:hAnsi="Arial" w:cs="Arial"/>
          <w:b/>
          <w:bCs/>
          <w:sz w:val="24"/>
          <w:szCs w:val="24"/>
        </w:rPr>
        <w:t>2021 study programme for students considering tertiary study overseas</w:t>
      </w:r>
    </w:p>
    <w:p w14:paraId="75C3CF10" w14:textId="77777777" w:rsidR="000D228E" w:rsidRDefault="000D228E" w:rsidP="008A1032">
      <w:pPr>
        <w:spacing w:before="120" w:after="120" w:line="240" w:lineRule="auto"/>
        <w:contextualSpacing/>
        <w:rPr>
          <w:rFonts w:ascii="Arial" w:hAnsi="Arial" w:cs="Arial"/>
        </w:rPr>
      </w:pPr>
    </w:p>
    <w:p w14:paraId="13B08C2B" w14:textId="2995E01F" w:rsidR="00665B9B" w:rsidRPr="000D228E" w:rsidRDefault="00665B9B" w:rsidP="008A1032">
      <w:pPr>
        <w:spacing w:before="120" w:after="120" w:line="240" w:lineRule="auto"/>
        <w:rPr>
          <w:rFonts w:ascii="Arial" w:hAnsi="Arial" w:cs="Arial"/>
        </w:rPr>
      </w:pPr>
      <w:r w:rsidRPr="000D228E">
        <w:rPr>
          <w:rFonts w:ascii="Arial" w:hAnsi="Arial" w:cs="Arial"/>
        </w:rPr>
        <w:t>Information for Year 13 Deans, Careers Advisors and Heads of Department</w:t>
      </w:r>
      <w:r w:rsidR="000D228E">
        <w:rPr>
          <w:rFonts w:ascii="Arial" w:hAnsi="Arial" w:cs="Arial"/>
        </w:rPr>
        <w:t>:</w:t>
      </w:r>
    </w:p>
    <w:p w14:paraId="76FE1C38" w14:textId="1D92D287" w:rsidR="00664831" w:rsidRDefault="00DF00F3" w:rsidP="008A1032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30A58" w:rsidRPr="008A1032">
        <w:rPr>
          <w:rFonts w:ascii="Arial" w:hAnsi="Arial" w:cs="Arial"/>
        </w:rPr>
        <w:t xml:space="preserve">lease </w:t>
      </w:r>
      <w:r w:rsidR="00664831">
        <w:rPr>
          <w:rFonts w:ascii="Arial" w:hAnsi="Arial" w:cs="Arial"/>
        </w:rPr>
        <w:t>follow up</w:t>
      </w:r>
      <w:r w:rsidR="004F6736">
        <w:rPr>
          <w:rFonts w:ascii="Arial" w:hAnsi="Arial" w:cs="Arial"/>
        </w:rPr>
        <w:t xml:space="preserve"> </w:t>
      </w:r>
      <w:r w:rsidR="00BE7F69">
        <w:rPr>
          <w:rFonts w:ascii="Arial" w:hAnsi="Arial" w:cs="Arial"/>
        </w:rPr>
        <w:t>with senior</w:t>
      </w:r>
      <w:r>
        <w:rPr>
          <w:rFonts w:ascii="Arial" w:hAnsi="Arial" w:cs="Arial"/>
        </w:rPr>
        <w:t xml:space="preserve"> </w:t>
      </w:r>
      <w:r w:rsidR="00664831">
        <w:rPr>
          <w:rFonts w:ascii="Arial" w:hAnsi="Arial" w:cs="Arial"/>
        </w:rPr>
        <w:t xml:space="preserve">students </w:t>
      </w:r>
      <w:r w:rsidR="004F6736">
        <w:rPr>
          <w:rFonts w:ascii="Arial" w:hAnsi="Arial" w:cs="Arial"/>
        </w:rPr>
        <w:t xml:space="preserve">who want to apply </w:t>
      </w:r>
      <w:r w:rsidR="00800715" w:rsidRPr="008A1032">
        <w:rPr>
          <w:rFonts w:ascii="Arial" w:hAnsi="Arial" w:cs="Arial"/>
        </w:rPr>
        <w:t xml:space="preserve">for </w:t>
      </w:r>
      <w:r w:rsidR="00130A58" w:rsidRPr="008A1032">
        <w:rPr>
          <w:rFonts w:ascii="Arial" w:hAnsi="Arial" w:cs="Arial"/>
        </w:rPr>
        <w:t xml:space="preserve">university </w:t>
      </w:r>
      <w:r w:rsidR="00800715" w:rsidRPr="008A1032">
        <w:rPr>
          <w:rFonts w:ascii="Arial" w:hAnsi="Arial" w:cs="Arial"/>
        </w:rPr>
        <w:t xml:space="preserve">study </w:t>
      </w:r>
      <w:r>
        <w:rPr>
          <w:rFonts w:ascii="Arial" w:hAnsi="Arial" w:cs="Arial"/>
        </w:rPr>
        <w:t>overseas</w:t>
      </w:r>
      <w:r w:rsidR="004F6736">
        <w:rPr>
          <w:rFonts w:ascii="Arial" w:hAnsi="Arial" w:cs="Arial"/>
        </w:rPr>
        <w:t>. Before</w:t>
      </w:r>
      <w:r>
        <w:rPr>
          <w:rFonts w:ascii="Arial" w:hAnsi="Arial" w:cs="Arial"/>
        </w:rPr>
        <w:t xml:space="preserve"> they get settled into study</w:t>
      </w:r>
      <w:r w:rsidR="000D228E">
        <w:rPr>
          <w:rFonts w:ascii="Arial" w:hAnsi="Arial" w:cs="Arial"/>
        </w:rPr>
        <w:t>,</w:t>
      </w:r>
      <w:r w:rsidR="004F6736">
        <w:rPr>
          <w:rFonts w:ascii="Arial" w:hAnsi="Arial" w:cs="Arial"/>
        </w:rPr>
        <w:t xml:space="preserve"> the</w:t>
      </w:r>
      <w:r w:rsidR="00BE7F69">
        <w:rPr>
          <w:rFonts w:ascii="Arial" w:hAnsi="Arial" w:cs="Arial"/>
        </w:rPr>
        <w:t>y</w:t>
      </w:r>
      <w:r w:rsidR="004F6736">
        <w:rPr>
          <w:rFonts w:ascii="Arial" w:hAnsi="Arial" w:cs="Arial"/>
        </w:rPr>
        <w:t xml:space="preserve"> need to </w:t>
      </w:r>
      <w:r>
        <w:rPr>
          <w:rFonts w:ascii="Arial" w:hAnsi="Arial" w:cs="Arial"/>
        </w:rPr>
        <w:t>make sure they are in the right study programme for their pathway plans.</w:t>
      </w:r>
    </w:p>
    <w:p w14:paraId="25116872" w14:textId="710F2C7F" w:rsidR="00DF00F3" w:rsidRDefault="00956CDB" w:rsidP="008A1032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NZQA </w:t>
      </w:r>
      <w:hyperlink r:id="rId7" w:history="1">
        <w:r w:rsidRPr="0078376C">
          <w:rPr>
            <w:rStyle w:val="Hyperlink"/>
            <w:rFonts w:ascii="Arial" w:hAnsi="Arial" w:cs="Arial"/>
          </w:rPr>
          <w:t>Internationalunit@nzqa.govt.nz</w:t>
        </w:r>
      </w:hyperlink>
      <w:r>
        <w:rPr>
          <w:rFonts w:ascii="Arial" w:hAnsi="Arial" w:cs="Arial"/>
        </w:rPr>
        <w:t xml:space="preserve"> if you have any questions. </w:t>
      </w:r>
    </w:p>
    <w:p w14:paraId="6B8BC36F" w14:textId="6E2B08E8" w:rsidR="000D228E" w:rsidRDefault="00A76BE1" w:rsidP="008A1032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8183F" wp14:editId="435870B7">
                <wp:simplePos x="0" y="0"/>
                <wp:positionH relativeFrom="margin">
                  <wp:posOffset>-219075</wp:posOffset>
                </wp:positionH>
                <wp:positionV relativeFrom="paragraph">
                  <wp:posOffset>133985</wp:posOffset>
                </wp:positionV>
                <wp:extent cx="6076950" cy="6276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276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9DDA7" w14:textId="77777777" w:rsidR="00DC70A2" w:rsidRDefault="003074C2" w:rsidP="00A940DD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D228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Advice for senior students </w:t>
                            </w:r>
                          </w:p>
                          <w:p w14:paraId="610FABE0" w14:textId="1A0579A5" w:rsidR="003074C2" w:rsidRDefault="003074C2" w:rsidP="00A940DD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D228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considering</w:t>
                            </w:r>
                            <w:r w:rsidR="004F6736" w:rsidRPr="000D228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study at</w:t>
                            </w:r>
                            <w:r w:rsidRPr="000D228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 overseas tertiary </w:t>
                            </w:r>
                            <w:r w:rsidR="004F6736" w:rsidRPr="000D228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organisation</w:t>
                            </w:r>
                            <w:r w:rsidR="00A940DD" w:rsidRPr="000D228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186470" w14:textId="77777777" w:rsidR="00DC70A2" w:rsidRPr="000D228E" w:rsidRDefault="00DC70A2" w:rsidP="00A940DD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141AA5C" w14:textId="2B954F9F" w:rsidR="003074C2" w:rsidRPr="00F56808" w:rsidRDefault="003074C2" w:rsidP="003074C2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56808">
                              <w:rPr>
                                <w:rFonts w:ascii="Arial" w:hAnsi="Arial" w:cs="Arial"/>
                              </w:rPr>
                              <w:t xml:space="preserve">lthough </w:t>
                            </w:r>
                            <w:r w:rsidR="004F6736">
                              <w:rPr>
                                <w:rFonts w:ascii="Arial" w:hAnsi="Arial" w:cs="Arial"/>
                              </w:rPr>
                              <w:t xml:space="preserve">most jurisdictions recognise </w:t>
                            </w:r>
                            <w:r w:rsidRPr="00F56808">
                              <w:rPr>
                                <w:rFonts w:ascii="Arial" w:hAnsi="Arial" w:cs="Arial"/>
                              </w:rPr>
                              <w:t>NCEA Level 3 with U</w:t>
                            </w:r>
                            <w:r w:rsidR="004F6736">
                              <w:rPr>
                                <w:rFonts w:ascii="Arial" w:hAnsi="Arial" w:cs="Arial"/>
                              </w:rPr>
                              <w:t xml:space="preserve">niversity </w:t>
                            </w:r>
                            <w:r w:rsidR="00A940DD">
                              <w:rPr>
                                <w:rFonts w:ascii="Arial" w:hAnsi="Arial" w:cs="Arial"/>
                              </w:rPr>
                              <w:t>Entrance,</w:t>
                            </w:r>
                            <w:r w:rsidR="004F6736">
                              <w:rPr>
                                <w:rFonts w:ascii="Arial" w:hAnsi="Arial" w:cs="Arial"/>
                              </w:rPr>
                              <w:t xml:space="preserve"> the country or educational institution may set additional entry requirements. </w:t>
                            </w:r>
                          </w:p>
                          <w:p w14:paraId="7193E682" w14:textId="2F731D5C" w:rsidR="00956CDB" w:rsidRDefault="003074C2" w:rsidP="00956CDB">
                            <w:pPr>
                              <w:spacing w:before="80" w:after="8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F56808">
                              <w:rPr>
                                <w:rFonts w:ascii="Arial" w:hAnsi="Arial" w:cs="Arial"/>
                              </w:rPr>
                              <w:t xml:space="preserve">heck with teachers that your 2021 study programme </w:t>
                            </w:r>
                            <w:r w:rsidR="00DF00F3">
                              <w:rPr>
                                <w:rFonts w:ascii="Arial" w:hAnsi="Arial" w:cs="Arial"/>
                              </w:rPr>
                              <w:t xml:space="preserve">gives you an </w:t>
                            </w:r>
                            <w:r w:rsidRPr="00F56808">
                              <w:rPr>
                                <w:rFonts w:ascii="Arial" w:hAnsi="Arial" w:cs="Arial"/>
                              </w:rPr>
                              <w:t xml:space="preserve">opportunity to meet </w:t>
                            </w:r>
                            <w:r w:rsidR="004F6736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F56808">
                              <w:rPr>
                                <w:rFonts w:ascii="Arial" w:hAnsi="Arial" w:cs="Arial"/>
                              </w:rPr>
                              <w:t>overseas entry requirements</w:t>
                            </w:r>
                            <w:r w:rsidR="004F6736">
                              <w:rPr>
                                <w:rFonts w:ascii="Arial" w:hAnsi="Arial" w:cs="Arial"/>
                              </w:rPr>
                              <w:t xml:space="preserve"> that are relevant to your planned tertiary study.</w:t>
                            </w:r>
                          </w:p>
                          <w:p w14:paraId="7D19DF96" w14:textId="26645169" w:rsidR="003074C2" w:rsidRPr="00F56808" w:rsidRDefault="003074C2" w:rsidP="00956CDB">
                            <w:pPr>
                              <w:spacing w:before="80" w:after="8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-------------------------------------------</w:t>
                            </w:r>
                          </w:p>
                          <w:p w14:paraId="1D287293" w14:textId="77777777" w:rsidR="003074C2" w:rsidRPr="003074C2" w:rsidRDefault="003074C2" w:rsidP="00956CDB">
                            <w:pPr>
                              <w:spacing w:before="80" w:after="8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074C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Research the country’s minimum university entry requirements for NCEA</w:t>
                            </w:r>
                          </w:p>
                          <w:p w14:paraId="52FCE2A5" w14:textId="0BF3CEF7" w:rsidR="00DF00F3" w:rsidRPr="004F6736" w:rsidRDefault="004F6736" w:rsidP="004F6736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F673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3074C2" w:rsidRPr="004F6736">
                              <w:rPr>
                                <w:rFonts w:ascii="Arial" w:hAnsi="Arial" w:cs="Arial"/>
                              </w:rPr>
                              <w:t>ee NZQA’s information o</w:t>
                            </w:r>
                            <w:r w:rsidR="00956CDB" w:rsidRPr="004F6736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DF00F3" w:rsidRPr="004F6736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0AA1690B" w14:textId="60564277" w:rsidR="00DF00F3" w:rsidRDefault="00631519" w:rsidP="004F673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0" w:after="120" w:line="240" w:lineRule="auto"/>
                              <w:ind w:left="567" w:hanging="357"/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="003074C2" w:rsidRPr="00D72915">
                                <w:rPr>
                                  <w:rStyle w:val="Hyperlink"/>
                                  <w:rFonts w:ascii="Arial" w:hAnsi="Arial" w:cs="Arial"/>
                                </w:rPr>
                                <w:t>university entrance overseas</w:t>
                              </w:r>
                            </w:hyperlink>
                            <w:r w:rsidR="003074C2" w:rsidRPr="008A1032">
                              <w:rPr>
                                <w:rFonts w:ascii="Arial" w:hAnsi="Arial" w:cs="Arial"/>
                              </w:rPr>
                              <w:t xml:space="preserve"> for university entrance around the world</w:t>
                            </w:r>
                          </w:p>
                          <w:p w14:paraId="33C044CC" w14:textId="686BA52F" w:rsidR="003074C2" w:rsidRPr="00DF00F3" w:rsidRDefault="00631519" w:rsidP="004F673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0" w:after="120" w:line="240" w:lineRule="auto"/>
                              <w:ind w:left="567" w:hanging="357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hyperlink r:id="rId9" w:history="1">
                              <w:r w:rsidR="003074C2" w:rsidRPr="00F92A9D">
                                <w:rPr>
                                  <w:rStyle w:val="Hyperlink"/>
                                  <w:rFonts w:ascii="Arial" w:hAnsi="Arial" w:cs="Arial"/>
                                </w:rPr>
                                <w:t>specific country requirements for the recognition of NCEA</w:t>
                              </w:r>
                            </w:hyperlink>
                            <w:r w:rsidR="003074C2" w:rsidRPr="00D72915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3074C2" w:rsidRPr="00DF00F3">
                              <w:rPr>
                                <w:rFonts w:ascii="Arial" w:hAnsi="Arial" w:cs="Arial"/>
                              </w:rPr>
                              <w:t xml:space="preserve"> Read country information carefully, including links to relevant related information.</w:t>
                            </w:r>
                          </w:p>
                          <w:p w14:paraId="721C2651" w14:textId="7021A3D0" w:rsidR="003074C2" w:rsidRPr="004F6736" w:rsidRDefault="004F6736" w:rsidP="004F6736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F6736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3074C2" w:rsidRPr="004F6736">
                              <w:rPr>
                                <w:rFonts w:ascii="Arial" w:hAnsi="Arial" w:cs="Arial"/>
                              </w:rPr>
                              <w:t>heck entry requirements for your university of choice</w:t>
                            </w:r>
                          </w:p>
                          <w:p w14:paraId="3CF6D3F5" w14:textId="77777777" w:rsidR="003074C2" w:rsidRPr="003074C2" w:rsidRDefault="003074C2" w:rsidP="003074C2">
                            <w:pPr>
                              <w:spacing w:before="120"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074C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Know the number of credits you’ll need:</w:t>
                            </w:r>
                            <w:r w:rsidRPr="003074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42E3272" w14:textId="178BAFBD" w:rsidR="003074C2" w:rsidRPr="00F56808" w:rsidRDefault="003074C2" w:rsidP="00DF00F3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F56808">
                              <w:rPr>
                                <w:rFonts w:ascii="Arial" w:hAnsi="Arial" w:cs="Arial"/>
                              </w:rPr>
                              <w:t>or example</w:t>
                            </w:r>
                            <w:r w:rsidR="00DF00F3">
                              <w:rPr>
                                <w:rFonts w:ascii="Arial" w:hAnsi="Arial" w:cs="Arial"/>
                              </w:rPr>
                              <w:t>, you need:</w:t>
                            </w:r>
                          </w:p>
                          <w:p w14:paraId="5B523473" w14:textId="3E48E686" w:rsidR="003074C2" w:rsidRPr="008A1032" w:rsidRDefault="003074C2" w:rsidP="004F6736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before="120" w:after="120" w:line="240" w:lineRule="auto"/>
                              <w:ind w:left="567" w:hanging="357"/>
                              <w:rPr>
                                <w:rFonts w:ascii="Arial" w:hAnsi="Arial" w:cs="Arial"/>
                              </w:rPr>
                            </w:pPr>
                            <w:r w:rsidRPr="008A1032">
                              <w:rPr>
                                <w:rFonts w:ascii="Arial" w:hAnsi="Arial" w:cs="Arial"/>
                              </w:rPr>
                              <w:t xml:space="preserve">at least 90 Level 3 credits for Australia’s </w:t>
                            </w:r>
                            <w:hyperlink r:id="rId10" w:history="1">
                              <w:r w:rsidRPr="008A1032">
                                <w:rPr>
                                  <w:rStyle w:val="Hyperlink"/>
                                  <w:rFonts w:ascii="Arial" w:hAnsi="Arial" w:cs="Arial"/>
                                </w:rPr>
                                <w:t>ATAR</w:t>
                              </w:r>
                            </w:hyperlink>
                            <w:r w:rsidRPr="008A1032">
                              <w:rPr>
                                <w:rFonts w:ascii="Arial" w:hAnsi="Arial" w:cs="Arial"/>
                              </w:rPr>
                              <w:t xml:space="preserve"> and Germany’s </w:t>
                            </w:r>
                            <w:hyperlink r:id="rId11" w:history="1">
                              <w:r w:rsidRPr="008A1032">
                                <w:rPr>
                                  <w:rStyle w:val="Hyperlink"/>
                                  <w:rFonts w:ascii="Arial" w:hAnsi="Arial" w:cs="Arial"/>
                                </w:rPr>
                                <w:t>Abitur</w:t>
                              </w:r>
                            </w:hyperlink>
                          </w:p>
                          <w:p w14:paraId="7BB31556" w14:textId="77767342" w:rsidR="003074C2" w:rsidRDefault="003074C2" w:rsidP="004F6736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567" w:hanging="357"/>
                              <w:rPr>
                                <w:rFonts w:ascii="Arial" w:hAnsi="Arial" w:cs="Arial"/>
                              </w:rPr>
                            </w:pPr>
                            <w:r w:rsidRPr="008A1032">
                              <w:rPr>
                                <w:rFonts w:ascii="Arial" w:hAnsi="Arial" w:cs="Arial"/>
                              </w:rPr>
                              <w:t xml:space="preserve">at least 90 Level 3 credits in the year for an </w:t>
                            </w:r>
                            <w:hyperlink r:id="rId12" w:history="1">
                              <w:r w:rsidRPr="008A1032">
                                <w:rPr>
                                  <w:rStyle w:val="Hyperlink"/>
                                  <w:rFonts w:ascii="Arial" w:hAnsi="Arial" w:cs="Arial"/>
                                </w:rPr>
                                <w:t>NZQA calculated Grade Point Average (GPA).</w:t>
                              </w:r>
                            </w:hyperlink>
                            <w:r w:rsidRPr="008A1032">
                              <w:rPr>
                                <w:rFonts w:ascii="Arial" w:hAnsi="Arial" w:cs="Arial"/>
                              </w:rPr>
                              <w:t xml:space="preserve"> Other counties and agencies may use other data to calculate a GPA </w:t>
                            </w:r>
                          </w:p>
                          <w:p w14:paraId="651DEA48" w14:textId="03C0867B" w:rsidR="003074C2" w:rsidRPr="008A1032" w:rsidRDefault="003074C2" w:rsidP="004F6736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before="120" w:after="120" w:line="240" w:lineRule="auto"/>
                              <w:ind w:left="567"/>
                              <w:rPr>
                                <w:rFonts w:ascii="Arial" w:hAnsi="Arial" w:cs="Arial"/>
                              </w:rPr>
                            </w:pPr>
                            <w:r w:rsidRPr="008A1032">
                              <w:rPr>
                                <w:rFonts w:ascii="Arial" w:hAnsi="Arial" w:cs="Arial"/>
                              </w:rPr>
                              <w:t>minimum 20 credits in prerequisite subjects for University Queensland undergraduate programmes, e</w:t>
                            </w:r>
                            <w:r w:rsidR="004F6736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8A1032">
                              <w:rPr>
                                <w:rFonts w:ascii="Arial" w:hAnsi="Arial" w:cs="Arial"/>
                              </w:rPr>
                              <w:t>g</w:t>
                            </w:r>
                            <w:r w:rsidR="004F6736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8A1032">
                              <w:rPr>
                                <w:rFonts w:ascii="Arial" w:hAnsi="Arial" w:cs="Arial"/>
                              </w:rPr>
                              <w:t xml:space="preserve"> 20 L</w:t>
                            </w:r>
                            <w:r w:rsidR="004F6736">
                              <w:rPr>
                                <w:rFonts w:ascii="Arial" w:hAnsi="Arial" w:cs="Arial"/>
                              </w:rPr>
                              <w:t xml:space="preserve">evel </w:t>
                            </w:r>
                            <w:r w:rsidRPr="008A1032">
                              <w:rPr>
                                <w:rFonts w:ascii="Arial" w:hAnsi="Arial" w:cs="Arial"/>
                              </w:rPr>
                              <w:t>3 credits in English required for Bachelor of Arts</w:t>
                            </w:r>
                          </w:p>
                          <w:p w14:paraId="47B1A638" w14:textId="77777777" w:rsidR="003074C2" w:rsidRPr="003074C2" w:rsidRDefault="003074C2" w:rsidP="003074C2">
                            <w:pPr>
                              <w:spacing w:before="120"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074C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Check subject requirements.</w:t>
                            </w:r>
                            <w:r w:rsidRPr="003074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54298ED" w14:textId="77777777" w:rsidR="003074C2" w:rsidRDefault="003074C2" w:rsidP="003074C2">
                            <w:pPr>
                              <w:spacing w:before="120" w:after="12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F56808">
                              <w:rPr>
                                <w:rFonts w:ascii="Arial" w:hAnsi="Arial" w:cs="Arial"/>
                              </w:rPr>
                              <w:t>For example</w:t>
                            </w:r>
                          </w:p>
                          <w:p w14:paraId="66F162C2" w14:textId="77777777" w:rsidR="003074C2" w:rsidRDefault="00631519" w:rsidP="003074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after="120" w:line="240" w:lineRule="auto"/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hyperlink r:id="rId13" w:history="1">
                              <w:r w:rsidR="003074C2" w:rsidRPr="00F56808">
                                <w:rPr>
                                  <w:rStyle w:val="Hyperlink"/>
                                  <w:rFonts w:ascii="Arial" w:hAnsi="Arial" w:cs="Arial"/>
                                </w:rPr>
                                <w:t>United States National College Athletics Association (NCAA) approved subjects</w:t>
                              </w:r>
                            </w:hyperlink>
                            <w:r w:rsidR="003074C2" w:rsidRPr="00F56808">
                              <w:rPr>
                                <w:rFonts w:ascii="Arial" w:hAnsi="Arial" w:cs="Arial"/>
                              </w:rPr>
                              <w:t xml:space="preserve"> does not include “Sport” or ‘Physical Education”</w:t>
                            </w:r>
                          </w:p>
                          <w:p w14:paraId="4C3B0EA2" w14:textId="2012F9CA" w:rsidR="003074C2" w:rsidRPr="00956CDB" w:rsidRDefault="003074C2" w:rsidP="003074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after="120" w:line="240" w:lineRule="auto"/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956CDB">
                              <w:rPr>
                                <w:rFonts w:ascii="Arial" w:hAnsi="Arial" w:cs="Arial"/>
                              </w:rPr>
                              <w:t>You</w:t>
                            </w:r>
                            <w:r w:rsidR="00DF00F3" w:rsidRPr="00956CD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56CDB">
                              <w:rPr>
                                <w:rFonts w:ascii="Arial" w:hAnsi="Arial" w:cs="Arial"/>
                              </w:rPr>
                              <w:t xml:space="preserve">need to do a full year’s </w:t>
                            </w:r>
                            <w:r w:rsidR="004F6736">
                              <w:rPr>
                                <w:rFonts w:ascii="Arial" w:hAnsi="Arial" w:cs="Arial"/>
                              </w:rPr>
                              <w:t>study in a single subject</w:t>
                            </w:r>
                            <w:r w:rsidR="00DF00F3" w:rsidRPr="00956CDB">
                              <w:rPr>
                                <w:rFonts w:ascii="Arial" w:hAnsi="Arial" w:cs="Arial"/>
                              </w:rPr>
                              <w:t xml:space="preserve"> to</w:t>
                            </w:r>
                            <w:r w:rsidRPr="00956CDB">
                              <w:rPr>
                                <w:rFonts w:ascii="Arial" w:hAnsi="Arial" w:cs="Arial"/>
                              </w:rPr>
                              <w:t xml:space="preserve"> meet subject requirements. </w:t>
                            </w:r>
                          </w:p>
                          <w:p w14:paraId="1630B1B3" w14:textId="2CA63F06" w:rsidR="003074C2" w:rsidRPr="00956CDB" w:rsidRDefault="003074C2" w:rsidP="003074C2">
                            <w:pPr>
                              <w:pStyle w:val="ListParagraph"/>
                              <w:spacing w:before="120"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56CDB">
                              <w:rPr>
                                <w:rFonts w:ascii="Arial" w:hAnsi="Arial" w:cs="Arial"/>
                                <w:u w:val="single"/>
                              </w:rPr>
                              <w:t>Note</w:t>
                            </w:r>
                            <w:r w:rsidRPr="00956CDB">
                              <w:rPr>
                                <w:rFonts w:ascii="Arial" w:hAnsi="Arial" w:cs="Arial"/>
                              </w:rPr>
                              <w:t xml:space="preserve"> that assessment standards (AS) making up school course</w:t>
                            </w:r>
                            <w:r w:rsidR="00DF5373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956CDB">
                              <w:rPr>
                                <w:rFonts w:ascii="Arial" w:hAnsi="Arial" w:cs="Arial"/>
                              </w:rPr>
                              <w:t xml:space="preserve"> are reported on the New Zealand Record of Achievement (</w:t>
                            </w:r>
                            <w:proofErr w:type="spellStart"/>
                            <w:r w:rsidRPr="00956CDB">
                              <w:rPr>
                                <w:rFonts w:ascii="Arial" w:hAnsi="Arial" w:cs="Arial"/>
                              </w:rPr>
                              <w:t>NZRoA</w:t>
                            </w:r>
                            <w:proofErr w:type="spellEnd"/>
                            <w:r w:rsidRPr="00956CDB">
                              <w:rPr>
                                <w:rFonts w:ascii="Arial" w:hAnsi="Arial" w:cs="Arial"/>
                              </w:rPr>
                              <w:t xml:space="preserve">) under subject domain.  </w:t>
                            </w:r>
                            <w:r w:rsidR="00DF00F3" w:rsidRPr="00956CDB"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 w:rsidRPr="00956CDB">
                              <w:rPr>
                                <w:rFonts w:ascii="Arial" w:hAnsi="Arial" w:cs="Arial"/>
                              </w:rPr>
                              <w:t>school course such as “Global Studies” might be reported under History, Geography</w:t>
                            </w:r>
                            <w:r w:rsidR="00DF00F3" w:rsidRPr="00956CDB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="00D72915" w:rsidRPr="00956CDB">
                              <w:rPr>
                                <w:rFonts w:ascii="Arial" w:hAnsi="Arial" w:cs="Arial"/>
                              </w:rPr>
                              <w:t>Statistic</w:t>
                            </w:r>
                            <w:r w:rsidR="00D72915">
                              <w:rPr>
                                <w:rFonts w:ascii="Arial" w:hAnsi="Arial" w:cs="Arial"/>
                              </w:rPr>
                              <w:t xml:space="preserve">s, </w:t>
                            </w:r>
                            <w:r w:rsidR="00D72915" w:rsidRPr="00956CDB">
                              <w:rPr>
                                <w:rFonts w:ascii="Arial" w:hAnsi="Arial" w:cs="Arial"/>
                              </w:rPr>
                              <w:t>but</w:t>
                            </w:r>
                            <w:r w:rsidRPr="00956CD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F6736">
                              <w:rPr>
                                <w:rFonts w:ascii="Arial" w:hAnsi="Arial" w:cs="Arial"/>
                              </w:rPr>
                              <w:t>they do</w:t>
                            </w:r>
                            <w:r w:rsidR="00A940DD">
                              <w:rPr>
                                <w:rFonts w:ascii="Arial" w:hAnsi="Arial" w:cs="Arial"/>
                              </w:rPr>
                              <w:t>n’t</w:t>
                            </w:r>
                            <w:r w:rsidRPr="00956CD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F00F3" w:rsidRPr="00956CDB">
                              <w:rPr>
                                <w:rFonts w:ascii="Arial" w:hAnsi="Arial" w:cs="Arial"/>
                              </w:rPr>
                              <w:t xml:space="preserve">have </w:t>
                            </w:r>
                            <w:r w:rsidRPr="00956CDB">
                              <w:rPr>
                                <w:rFonts w:ascii="Arial" w:hAnsi="Arial" w:cs="Arial"/>
                              </w:rPr>
                              <w:t xml:space="preserve">enough credits to </w:t>
                            </w:r>
                            <w:r w:rsidR="00956CDB" w:rsidRPr="00956CDB">
                              <w:rPr>
                                <w:rFonts w:ascii="Arial" w:hAnsi="Arial" w:cs="Arial"/>
                              </w:rPr>
                              <w:t>represent a</w:t>
                            </w:r>
                            <w:r w:rsidRPr="00956CDB">
                              <w:rPr>
                                <w:rFonts w:ascii="Arial" w:hAnsi="Arial" w:cs="Arial"/>
                              </w:rPr>
                              <w:t xml:space="preserve"> year’s study in any one of these three subjects.</w:t>
                            </w:r>
                          </w:p>
                          <w:p w14:paraId="7AC074A4" w14:textId="77777777" w:rsidR="00956CDB" w:rsidRDefault="00956C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8183F" id="Rectangle 2" o:spid="_x0000_s1026" style="position:absolute;margin-left:-17.25pt;margin-top:10.55pt;width:478.5pt;height:4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" fillcolor="white [3201]" strokecolor="#a5a5a5 [3206]" strokeweight="1pt">
                <v:textbox>
                  <w:txbxContent>
                    <w:p w14:paraId="7729DDA7" w14:textId="77777777" w:rsidR="00DC70A2" w:rsidRDefault="003074C2" w:rsidP="00A940DD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0D228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Advice for senior students </w:t>
                      </w:r>
                    </w:p>
                    <w:p w14:paraId="610FABE0" w14:textId="1A0579A5" w:rsidR="003074C2" w:rsidRDefault="003074C2" w:rsidP="00A940DD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0D228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considering</w:t>
                      </w:r>
                      <w:r w:rsidR="004F6736" w:rsidRPr="000D228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study at</w:t>
                      </w:r>
                      <w:r w:rsidRPr="000D228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an overseas tertiary </w:t>
                      </w:r>
                      <w:r w:rsidR="004F6736" w:rsidRPr="000D228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organisation</w:t>
                      </w:r>
                      <w:r w:rsidR="00A940DD" w:rsidRPr="000D228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F186470" w14:textId="77777777" w:rsidR="00DC70A2" w:rsidRPr="000D228E" w:rsidRDefault="00DC70A2" w:rsidP="00A940DD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141AA5C" w14:textId="2B954F9F" w:rsidR="003074C2" w:rsidRPr="00F56808" w:rsidRDefault="003074C2" w:rsidP="003074C2">
                      <w:pPr>
                        <w:spacing w:before="120" w:after="12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  <w:r w:rsidRPr="00F56808">
                        <w:rPr>
                          <w:rFonts w:ascii="Arial" w:hAnsi="Arial" w:cs="Arial"/>
                        </w:rPr>
                        <w:t xml:space="preserve">lthough </w:t>
                      </w:r>
                      <w:r w:rsidR="004F6736">
                        <w:rPr>
                          <w:rFonts w:ascii="Arial" w:hAnsi="Arial" w:cs="Arial"/>
                        </w:rPr>
                        <w:t xml:space="preserve">most jurisdictions recognise </w:t>
                      </w:r>
                      <w:r w:rsidRPr="00F56808">
                        <w:rPr>
                          <w:rFonts w:ascii="Arial" w:hAnsi="Arial" w:cs="Arial"/>
                        </w:rPr>
                        <w:t>NCEA Level 3 with U</w:t>
                      </w:r>
                      <w:r w:rsidR="004F6736">
                        <w:rPr>
                          <w:rFonts w:ascii="Arial" w:hAnsi="Arial" w:cs="Arial"/>
                        </w:rPr>
                        <w:t xml:space="preserve">niversity </w:t>
                      </w:r>
                      <w:r w:rsidR="00A940DD">
                        <w:rPr>
                          <w:rFonts w:ascii="Arial" w:hAnsi="Arial" w:cs="Arial"/>
                        </w:rPr>
                        <w:t>Entrance,</w:t>
                      </w:r>
                      <w:r w:rsidR="004F6736">
                        <w:rPr>
                          <w:rFonts w:ascii="Arial" w:hAnsi="Arial" w:cs="Arial"/>
                        </w:rPr>
                        <w:t xml:space="preserve"> the country or educational institution may set additional entry requirements. </w:t>
                      </w:r>
                    </w:p>
                    <w:p w14:paraId="7193E682" w14:textId="2F731D5C" w:rsidR="00956CDB" w:rsidRDefault="003074C2" w:rsidP="00956CDB">
                      <w:pPr>
                        <w:spacing w:before="80" w:after="8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  <w:r w:rsidRPr="00F56808">
                        <w:rPr>
                          <w:rFonts w:ascii="Arial" w:hAnsi="Arial" w:cs="Arial"/>
                        </w:rPr>
                        <w:t xml:space="preserve">heck with teachers that your 2021 study programme </w:t>
                      </w:r>
                      <w:r w:rsidR="00DF00F3">
                        <w:rPr>
                          <w:rFonts w:ascii="Arial" w:hAnsi="Arial" w:cs="Arial"/>
                        </w:rPr>
                        <w:t xml:space="preserve">gives you an </w:t>
                      </w:r>
                      <w:r w:rsidRPr="00F56808">
                        <w:rPr>
                          <w:rFonts w:ascii="Arial" w:hAnsi="Arial" w:cs="Arial"/>
                        </w:rPr>
                        <w:t xml:space="preserve">opportunity to meet </w:t>
                      </w:r>
                      <w:r w:rsidR="004F6736"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F56808">
                        <w:rPr>
                          <w:rFonts w:ascii="Arial" w:hAnsi="Arial" w:cs="Arial"/>
                        </w:rPr>
                        <w:t>overseas entry requirements</w:t>
                      </w:r>
                      <w:r w:rsidR="004F6736">
                        <w:rPr>
                          <w:rFonts w:ascii="Arial" w:hAnsi="Arial" w:cs="Arial"/>
                        </w:rPr>
                        <w:t xml:space="preserve"> that are relevant to your planned tertiary study.</w:t>
                      </w:r>
                    </w:p>
                    <w:p w14:paraId="7D19DF96" w14:textId="26645169" w:rsidR="003074C2" w:rsidRPr="00F56808" w:rsidRDefault="003074C2" w:rsidP="00956CDB">
                      <w:pPr>
                        <w:spacing w:before="80" w:after="8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-------------------------------------------</w:t>
                      </w:r>
                    </w:p>
                    <w:p w14:paraId="1D287293" w14:textId="77777777" w:rsidR="003074C2" w:rsidRPr="003074C2" w:rsidRDefault="003074C2" w:rsidP="00956CDB">
                      <w:pPr>
                        <w:spacing w:before="80" w:after="80" w:line="24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3074C2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Research the country’s minimum university entry requirements for NCEA</w:t>
                      </w:r>
                    </w:p>
                    <w:p w14:paraId="52FCE2A5" w14:textId="0BF3CEF7" w:rsidR="00DF00F3" w:rsidRPr="004F6736" w:rsidRDefault="004F6736" w:rsidP="004F6736">
                      <w:pPr>
                        <w:spacing w:before="120" w:after="120" w:line="240" w:lineRule="auto"/>
                        <w:rPr>
                          <w:rFonts w:ascii="Arial" w:hAnsi="Arial" w:cs="Arial"/>
                        </w:rPr>
                      </w:pPr>
                      <w:r w:rsidRPr="004F6736">
                        <w:rPr>
                          <w:rFonts w:ascii="Arial" w:hAnsi="Arial" w:cs="Arial"/>
                        </w:rPr>
                        <w:t>S</w:t>
                      </w:r>
                      <w:r w:rsidR="003074C2" w:rsidRPr="004F6736">
                        <w:rPr>
                          <w:rFonts w:ascii="Arial" w:hAnsi="Arial" w:cs="Arial"/>
                        </w:rPr>
                        <w:t>ee NZQA’s information o</w:t>
                      </w:r>
                      <w:r w:rsidR="00956CDB" w:rsidRPr="004F6736">
                        <w:rPr>
                          <w:rFonts w:ascii="Arial" w:hAnsi="Arial" w:cs="Arial"/>
                        </w:rPr>
                        <w:t>n</w:t>
                      </w:r>
                      <w:r w:rsidR="00DF00F3" w:rsidRPr="004F6736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0AA1690B" w14:textId="60564277" w:rsidR="00DF00F3" w:rsidRDefault="00DF5373" w:rsidP="004F673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20" w:after="120" w:line="240" w:lineRule="auto"/>
                        <w:ind w:left="567" w:hanging="357"/>
                        <w:rPr>
                          <w:rFonts w:ascii="Arial" w:hAnsi="Arial" w:cs="Arial"/>
                        </w:rPr>
                      </w:pPr>
                      <w:hyperlink r:id="rId14" w:history="1">
                        <w:r w:rsidR="003074C2" w:rsidRPr="00D72915">
                          <w:rPr>
                            <w:rStyle w:val="Hyperlink"/>
                            <w:rFonts w:ascii="Arial" w:hAnsi="Arial" w:cs="Arial"/>
                          </w:rPr>
                          <w:t>university entrance overseas</w:t>
                        </w:r>
                      </w:hyperlink>
                      <w:r w:rsidR="003074C2" w:rsidRPr="008A1032">
                        <w:rPr>
                          <w:rFonts w:ascii="Arial" w:hAnsi="Arial" w:cs="Arial"/>
                        </w:rPr>
                        <w:t xml:space="preserve"> for university entrance around the world</w:t>
                      </w:r>
                    </w:p>
                    <w:p w14:paraId="33C044CC" w14:textId="686BA52F" w:rsidR="003074C2" w:rsidRPr="00DF00F3" w:rsidRDefault="00DF5373" w:rsidP="004F673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20" w:after="120" w:line="240" w:lineRule="auto"/>
                        <w:ind w:left="567" w:hanging="357"/>
                        <w:contextualSpacing w:val="0"/>
                        <w:rPr>
                          <w:rFonts w:ascii="Arial" w:hAnsi="Arial" w:cs="Arial"/>
                        </w:rPr>
                      </w:pPr>
                      <w:hyperlink r:id="rId15" w:history="1">
                        <w:r w:rsidR="003074C2" w:rsidRPr="00F92A9D">
                          <w:rPr>
                            <w:rStyle w:val="Hyperlink"/>
                            <w:rFonts w:ascii="Arial" w:hAnsi="Arial" w:cs="Arial"/>
                          </w:rPr>
                          <w:t>specific country requirements for the recognition of NCEA</w:t>
                        </w:r>
                      </w:hyperlink>
                      <w:r w:rsidR="003074C2" w:rsidRPr="00D72915">
                        <w:rPr>
                          <w:rFonts w:ascii="Arial" w:hAnsi="Arial" w:cs="Arial"/>
                        </w:rPr>
                        <w:t>.</w:t>
                      </w:r>
                      <w:r w:rsidR="003074C2" w:rsidRPr="00DF00F3">
                        <w:rPr>
                          <w:rFonts w:ascii="Arial" w:hAnsi="Arial" w:cs="Arial"/>
                        </w:rPr>
                        <w:t xml:space="preserve"> Read country information carefully, including links to relevant related information.</w:t>
                      </w:r>
                    </w:p>
                    <w:p w14:paraId="721C2651" w14:textId="7021A3D0" w:rsidR="003074C2" w:rsidRPr="004F6736" w:rsidRDefault="004F6736" w:rsidP="004F6736">
                      <w:pPr>
                        <w:spacing w:before="120" w:after="120" w:line="240" w:lineRule="auto"/>
                        <w:rPr>
                          <w:rFonts w:ascii="Arial" w:hAnsi="Arial" w:cs="Arial"/>
                        </w:rPr>
                      </w:pPr>
                      <w:r w:rsidRPr="004F6736">
                        <w:rPr>
                          <w:rFonts w:ascii="Arial" w:hAnsi="Arial" w:cs="Arial"/>
                        </w:rPr>
                        <w:t>C</w:t>
                      </w:r>
                      <w:r w:rsidR="003074C2" w:rsidRPr="004F6736">
                        <w:rPr>
                          <w:rFonts w:ascii="Arial" w:hAnsi="Arial" w:cs="Arial"/>
                        </w:rPr>
                        <w:t>heck entry requirements for your university of choice</w:t>
                      </w:r>
                    </w:p>
                    <w:p w14:paraId="3CF6D3F5" w14:textId="77777777" w:rsidR="003074C2" w:rsidRPr="003074C2" w:rsidRDefault="003074C2" w:rsidP="003074C2">
                      <w:pPr>
                        <w:spacing w:before="120" w:after="120"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074C2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Know the number of credits you’ll need:</w:t>
                      </w:r>
                      <w:r w:rsidRPr="003074C2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642E3272" w14:textId="178BAFBD" w:rsidR="003074C2" w:rsidRPr="00F56808" w:rsidRDefault="003074C2" w:rsidP="00DF00F3">
                      <w:pPr>
                        <w:spacing w:before="120" w:after="12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</w:t>
                      </w:r>
                      <w:r w:rsidRPr="00F56808">
                        <w:rPr>
                          <w:rFonts w:ascii="Arial" w:hAnsi="Arial" w:cs="Arial"/>
                        </w:rPr>
                        <w:t>or example</w:t>
                      </w:r>
                      <w:r w:rsidR="00DF00F3">
                        <w:rPr>
                          <w:rFonts w:ascii="Arial" w:hAnsi="Arial" w:cs="Arial"/>
                        </w:rPr>
                        <w:t>, you need:</w:t>
                      </w:r>
                    </w:p>
                    <w:p w14:paraId="5B523473" w14:textId="3E48E686" w:rsidR="003074C2" w:rsidRPr="008A1032" w:rsidRDefault="003074C2" w:rsidP="004F6736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before="120" w:after="120" w:line="240" w:lineRule="auto"/>
                        <w:ind w:left="567" w:hanging="357"/>
                        <w:rPr>
                          <w:rFonts w:ascii="Arial" w:hAnsi="Arial" w:cs="Arial"/>
                        </w:rPr>
                      </w:pPr>
                      <w:r w:rsidRPr="008A1032">
                        <w:rPr>
                          <w:rFonts w:ascii="Arial" w:hAnsi="Arial" w:cs="Arial"/>
                        </w:rPr>
                        <w:t xml:space="preserve">at least 90 Level 3 credits for Australia’s </w:t>
                      </w:r>
                      <w:hyperlink r:id="rId16" w:history="1">
                        <w:r w:rsidRPr="008A1032">
                          <w:rPr>
                            <w:rStyle w:val="Hyperlink"/>
                            <w:rFonts w:ascii="Arial" w:hAnsi="Arial" w:cs="Arial"/>
                          </w:rPr>
                          <w:t>ATAR</w:t>
                        </w:r>
                      </w:hyperlink>
                      <w:r w:rsidRPr="008A1032">
                        <w:rPr>
                          <w:rFonts w:ascii="Arial" w:hAnsi="Arial" w:cs="Arial"/>
                        </w:rPr>
                        <w:t xml:space="preserve"> and Germany’s </w:t>
                      </w:r>
                      <w:hyperlink r:id="rId17" w:history="1">
                        <w:r w:rsidRPr="008A1032">
                          <w:rPr>
                            <w:rStyle w:val="Hyperlink"/>
                            <w:rFonts w:ascii="Arial" w:hAnsi="Arial" w:cs="Arial"/>
                          </w:rPr>
                          <w:t>Abitur</w:t>
                        </w:r>
                      </w:hyperlink>
                    </w:p>
                    <w:p w14:paraId="7BB31556" w14:textId="77767342" w:rsidR="003074C2" w:rsidRDefault="003074C2" w:rsidP="004F6736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567" w:hanging="357"/>
                        <w:rPr>
                          <w:rFonts w:ascii="Arial" w:hAnsi="Arial" w:cs="Arial"/>
                        </w:rPr>
                      </w:pPr>
                      <w:r w:rsidRPr="008A1032">
                        <w:rPr>
                          <w:rFonts w:ascii="Arial" w:hAnsi="Arial" w:cs="Arial"/>
                        </w:rPr>
                        <w:t xml:space="preserve">at least 90 Level 3 credits in the year for an </w:t>
                      </w:r>
                      <w:hyperlink r:id="rId18" w:history="1">
                        <w:r w:rsidRPr="008A1032">
                          <w:rPr>
                            <w:rStyle w:val="Hyperlink"/>
                            <w:rFonts w:ascii="Arial" w:hAnsi="Arial" w:cs="Arial"/>
                          </w:rPr>
                          <w:t>NZQA calculated Grade Point Average (GPA).</w:t>
                        </w:r>
                      </w:hyperlink>
                      <w:r w:rsidRPr="008A1032">
                        <w:rPr>
                          <w:rFonts w:ascii="Arial" w:hAnsi="Arial" w:cs="Arial"/>
                        </w:rPr>
                        <w:t xml:space="preserve"> Other counties and agencies may use other data to calculate a GPA </w:t>
                      </w:r>
                    </w:p>
                    <w:p w14:paraId="651DEA48" w14:textId="03C0867B" w:rsidR="003074C2" w:rsidRPr="008A1032" w:rsidRDefault="003074C2" w:rsidP="004F6736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before="120" w:after="120" w:line="240" w:lineRule="auto"/>
                        <w:ind w:left="567"/>
                        <w:rPr>
                          <w:rFonts w:ascii="Arial" w:hAnsi="Arial" w:cs="Arial"/>
                        </w:rPr>
                      </w:pPr>
                      <w:r w:rsidRPr="008A1032">
                        <w:rPr>
                          <w:rFonts w:ascii="Arial" w:hAnsi="Arial" w:cs="Arial"/>
                        </w:rPr>
                        <w:t>minimum 20 credits in prerequisite subjects for University Queensland undergraduate programmes, e</w:t>
                      </w:r>
                      <w:r w:rsidR="004F6736">
                        <w:rPr>
                          <w:rFonts w:ascii="Arial" w:hAnsi="Arial" w:cs="Arial"/>
                        </w:rPr>
                        <w:t>.</w:t>
                      </w:r>
                      <w:r w:rsidRPr="008A1032">
                        <w:rPr>
                          <w:rFonts w:ascii="Arial" w:hAnsi="Arial" w:cs="Arial"/>
                        </w:rPr>
                        <w:t>g</w:t>
                      </w:r>
                      <w:r w:rsidR="004F6736">
                        <w:rPr>
                          <w:rFonts w:ascii="Arial" w:hAnsi="Arial" w:cs="Arial"/>
                        </w:rPr>
                        <w:t>.</w:t>
                      </w:r>
                      <w:r w:rsidRPr="008A1032">
                        <w:rPr>
                          <w:rFonts w:ascii="Arial" w:hAnsi="Arial" w:cs="Arial"/>
                        </w:rPr>
                        <w:t xml:space="preserve"> 20 L</w:t>
                      </w:r>
                      <w:r w:rsidR="004F6736">
                        <w:rPr>
                          <w:rFonts w:ascii="Arial" w:hAnsi="Arial" w:cs="Arial"/>
                        </w:rPr>
                        <w:t xml:space="preserve">evel </w:t>
                      </w:r>
                      <w:r w:rsidRPr="008A1032">
                        <w:rPr>
                          <w:rFonts w:ascii="Arial" w:hAnsi="Arial" w:cs="Arial"/>
                        </w:rPr>
                        <w:t>3 credits in English required for Bachelor of Arts</w:t>
                      </w:r>
                    </w:p>
                    <w:p w14:paraId="47B1A638" w14:textId="77777777" w:rsidR="003074C2" w:rsidRPr="003074C2" w:rsidRDefault="003074C2" w:rsidP="003074C2">
                      <w:pPr>
                        <w:spacing w:before="120" w:after="120" w:line="240" w:lineRule="auto"/>
                        <w:contextualSpacing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074C2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Check subject requirements.</w:t>
                      </w:r>
                      <w:r w:rsidRPr="003074C2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054298ED" w14:textId="77777777" w:rsidR="003074C2" w:rsidRDefault="003074C2" w:rsidP="003074C2">
                      <w:pPr>
                        <w:spacing w:before="120" w:after="120"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F56808">
                        <w:rPr>
                          <w:rFonts w:ascii="Arial" w:hAnsi="Arial" w:cs="Arial"/>
                        </w:rPr>
                        <w:t>For example</w:t>
                      </w:r>
                    </w:p>
                    <w:p w14:paraId="66F162C2" w14:textId="77777777" w:rsidR="003074C2" w:rsidRDefault="00DF5373" w:rsidP="003074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 w:after="120" w:line="240" w:lineRule="auto"/>
                        <w:ind w:left="714" w:hanging="357"/>
                        <w:contextualSpacing w:val="0"/>
                        <w:rPr>
                          <w:rFonts w:ascii="Arial" w:hAnsi="Arial" w:cs="Arial"/>
                        </w:rPr>
                      </w:pPr>
                      <w:hyperlink r:id="rId19" w:history="1">
                        <w:r w:rsidR="003074C2" w:rsidRPr="00F56808">
                          <w:rPr>
                            <w:rStyle w:val="Hyperlink"/>
                            <w:rFonts w:ascii="Arial" w:hAnsi="Arial" w:cs="Arial"/>
                          </w:rPr>
                          <w:t>United States National College Athletics Association (NCAA) approved subjects</w:t>
                        </w:r>
                      </w:hyperlink>
                      <w:r w:rsidR="003074C2" w:rsidRPr="00F56808">
                        <w:rPr>
                          <w:rFonts w:ascii="Arial" w:hAnsi="Arial" w:cs="Arial"/>
                        </w:rPr>
                        <w:t xml:space="preserve"> does not include “Sport” or ‘Physical Education”</w:t>
                      </w:r>
                    </w:p>
                    <w:p w14:paraId="4C3B0EA2" w14:textId="2012F9CA" w:rsidR="003074C2" w:rsidRPr="00956CDB" w:rsidRDefault="003074C2" w:rsidP="003074C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 w:after="120" w:line="240" w:lineRule="auto"/>
                        <w:ind w:left="714" w:hanging="357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956CDB">
                        <w:rPr>
                          <w:rFonts w:ascii="Arial" w:hAnsi="Arial" w:cs="Arial"/>
                        </w:rPr>
                        <w:t>You</w:t>
                      </w:r>
                      <w:r w:rsidR="00DF00F3" w:rsidRPr="00956CDB">
                        <w:rPr>
                          <w:rFonts w:ascii="Arial" w:hAnsi="Arial" w:cs="Arial"/>
                        </w:rPr>
                        <w:t xml:space="preserve"> </w:t>
                      </w:r>
                      <w:r w:rsidRPr="00956CDB">
                        <w:rPr>
                          <w:rFonts w:ascii="Arial" w:hAnsi="Arial" w:cs="Arial"/>
                        </w:rPr>
                        <w:t xml:space="preserve">need to do a full year’s </w:t>
                      </w:r>
                      <w:r w:rsidR="004F6736">
                        <w:rPr>
                          <w:rFonts w:ascii="Arial" w:hAnsi="Arial" w:cs="Arial"/>
                        </w:rPr>
                        <w:t>study in a single subject</w:t>
                      </w:r>
                      <w:r w:rsidR="00DF00F3" w:rsidRPr="00956CDB">
                        <w:rPr>
                          <w:rFonts w:ascii="Arial" w:hAnsi="Arial" w:cs="Arial"/>
                        </w:rPr>
                        <w:t xml:space="preserve"> to</w:t>
                      </w:r>
                      <w:r w:rsidRPr="00956CDB">
                        <w:rPr>
                          <w:rFonts w:ascii="Arial" w:hAnsi="Arial" w:cs="Arial"/>
                        </w:rPr>
                        <w:t xml:space="preserve"> meet subject requirements. </w:t>
                      </w:r>
                    </w:p>
                    <w:p w14:paraId="1630B1B3" w14:textId="2CA63F06" w:rsidR="003074C2" w:rsidRPr="00956CDB" w:rsidRDefault="003074C2" w:rsidP="003074C2">
                      <w:pPr>
                        <w:pStyle w:val="ListParagraph"/>
                        <w:spacing w:before="120" w:after="120" w:line="240" w:lineRule="auto"/>
                        <w:rPr>
                          <w:rFonts w:ascii="Arial" w:hAnsi="Arial" w:cs="Arial"/>
                        </w:rPr>
                      </w:pPr>
                      <w:r w:rsidRPr="00956CDB">
                        <w:rPr>
                          <w:rFonts w:ascii="Arial" w:hAnsi="Arial" w:cs="Arial"/>
                          <w:u w:val="single"/>
                        </w:rPr>
                        <w:t>Note</w:t>
                      </w:r>
                      <w:r w:rsidRPr="00956CDB">
                        <w:rPr>
                          <w:rFonts w:ascii="Arial" w:hAnsi="Arial" w:cs="Arial"/>
                        </w:rPr>
                        <w:t xml:space="preserve"> that assessment standards (AS) making up school course</w:t>
                      </w:r>
                      <w:r w:rsidR="00DF5373">
                        <w:rPr>
                          <w:rFonts w:ascii="Arial" w:hAnsi="Arial" w:cs="Arial"/>
                        </w:rPr>
                        <w:t>s</w:t>
                      </w:r>
                      <w:bookmarkStart w:id="1" w:name="_GoBack"/>
                      <w:bookmarkEnd w:id="1"/>
                      <w:r w:rsidRPr="00956CDB">
                        <w:rPr>
                          <w:rFonts w:ascii="Arial" w:hAnsi="Arial" w:cs="Arial"/>
                        </w:rPr>
                        <w:t xml:space="preserve"> are reported on the New Zealand Record of Achievement (NZRoA) under subject domain.  </w:t>
                      </w:r>
                      <w:r w:rsidR="00DF00F3" w:rsidRPr="00956CDB">
                        <w:rPr>
                          <w:rFonts w:ascii="Arial" w:hAnsi="Arial" w:cs="Arial"/>
                        </w:rPr>
                        <w:t xml:space="preserve">A </w:t>
                      </w:r>
                      <w:r w:rsidRPr="00956CDB">
                        <w:rPr>
                          <w:rFonts w:ascii="Arial" w:hAnsi="Arial" w:cs="Arial"/>
                        </w:rPr>
                        <w:t>school course such as “Global Studies” might be reported under History, Geography</w:t>
                      </w:r>
                      <w:r w:rsidR="00DF00F3" w:rsidRPr="00956CDB">
                        <w:rPr>
                          <w:rFonts w:ascii="Arial" w:hAnsi="Arial" w:cs="Arial"/>
                        </w:rPr>
                        <w:t xml:space="preserve"> and </w:t>
                      </w:r>
                      <w:r w:rsidR="00D72915" w:rsidRPr="00956CDB">
                        <w:rPr>
                          <w:rFonts w:ascii="Arial" w:hAnsi="Arial" w:cs="Arial"/>
                        </w:rPr>
                        <w:t>Statistic</w:t>
                      </w:r>
                      <w:r w:rsidR="00D72915">
                        <w:rPr>
                          <w:rFonts w:ascii="Arial" w:hAnsi="Arial" w:cs="Arial"/>
                        </w:rPr>
                        <w:t xml:space="preserve">s, </w:t>
                      </w:r>
                      <w:r w:rsidR="00D72915" w:rsidRPr="00956CDB">
                        <w:rPr>
                          <w:rFonts w:ascii="Arial" w:hAnsi="Arial" w:cs="Arial"/>
                        </w:rPr>
                        <w:t>but</w:t>
                      </w:r>
                      <w:r w:rsidRPr="00956CDB">
                        <w:rPr>
                          <w:rFonts w:ascii="Arial" w:hAnsi="Arial" w:cs="Arial"/>
                        </w:rPr>
                        <w:t xml:space="preserve"> </w:t>
                      </w:r>
                      <w:r w:rsidR="004F6736">
                        <w:rPr>
                          <w:rFonts w:ascii="Arial" w:hAnsi="Arial" w:cs="Arial"/>
                        </w:rPr>
                        <w:t>they do</w:t>
                      </w:r>
                      <w:r w:rsidR="00A940DD">
                        <w:rPr>
                          <w:rFonts w:ascii="Arial" w:hAnsi="Arial" w:cs="Arial"/>
                        </w:rPr>
                        <w:t>n’t</w:t>
                      </w:r>
                      <w:r w:rsidRPr="00956CDB">
                        <w:rPr>
                          <w:rFonts w:ascii="Arial" w:hAnsi="Arial" w:cs="Arial"/>
                        </w:rPr>
                        <w:t xml:space="preserve"> </w:t>
                      </w:r>
                      <w:r w:rsidR="00DF00F3" w:rsidRPr="00956CDB">
                        <w:rPr>
                          <w:rFonts w:ascii="Arial" w:hAnsi="Arial" w:cs="Arial"/>
                        </w:rPr>
                        <w:t xml:space="preserve">have </w:t>
                      </w:r>
                      <w:r w:rsidRPr="00956CDB">
                        <w:rPr>
                          <w:rFonts w:ascii="Arial" w:hAnsi="Arial" w:cs="Arial"/>
                        </w:rPr>
                        <w:t xml:space="preserve">enough credits to </w:t>
                      </w:r>
                      <w:r w:rsidR="00956CDB" w:rsidRPr="00956CDB">
                        <w:rPr>
                          <w:rFonts w:ascii="Arial" w:hAnsi="Arial" w:cs="Arial"/>
                        </w:rPr>
                        <w:t>represent a</w:t>
                      </w:r>
                      <w:r w:rsidRPr="00956CDB">
                        <w:rPr>
                          <w:rFonts w:ascii="Arial" w:hAnsi="Arial" w:cs="Arial"/>
                        </w:rPr>
                        <w:t xml:space="preserve"> year’s study in any one of these three subjects.</w:t>
                      </w:r>
                    </w:p>
                    <w:p w14:paraId="7AC074A4" w14:textId="77777777" w:rsidR="00956CDB" w:rsidRDefault="00956CDB"/>
                  </w:txbxContent>
                </v:textbox>
                <w10:wrap anchorx="margin"/>
              </v:rect>
            </w:pict>
          </mc:Fallback>
        </mc:AlternateContent>
      </w:r>
    </w:p>
    <w:p w14:paraId="75D82D68" w14:textId="77777777" w:rsidR="000D228E" w:rsidRDefault="000D228E" w:rsidP="008A1032">
      <w:pPr>
        <w:spacing w:before="120" w:after="120" w:line="240" w:lineRule="auto"/>
        <w:rPr>
          <w:rFonts w:ascii="Arial" w:hAnsi="Arial" w:cs="Arial"/>
        </w:rPr>
      </w:pPr>
    </w:p>
    <w:p w14:paraId="28143721" w14:textId="77777777" w:rsidR="000D228E" w:rsidRDefault="000D228E" w:rsidP="008A1032">
      <w:pPr>
        <w:spacing w:before="120" w:after="120" w:line="240" w:lineRule="auto"/>
        <w:rPr>
          <w:rFonts w:ascii="Arial" w:hAnsi="Arial" w:cs="Arial"/>
        </w:rPr>
      </w:pPr>
    </w:p>
    <w:p w14:paraId="0D8D7EF1" w14:textId="37F355D0" w:rsidR="00664831" w:rsidRDefault="00664831" w:rsidP="008A1032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Make sure they have checked that they are in the right subjects and </w:t>
      </w:r>
      <w:proofErr w:type="gramStart"/>
      <w:r>
        <w:rPr>
          <w:rFonts w:ascii="Arial" w:hAnsi="Arial" w:cs="Arial"/>
        </w:rPr>
        <w:t>have the opportunity to</w:t>
      </w:r>
      <w:proofErr w:type="gramEnd"/>
      <w:r>
        <w:rPr>
          <w:rFonts w:ascii="Arial" w:hAnsi="Arial" w:cs="Arial"/>
        </w:rPr>
        <w:t xml:space="preserve"> gain sufficient credits to meet any </w:t>
      </w:r>
      <w:r w:rsidR="008A1032">
        <w:rPr>
          <w:rFonts w:ascii="Arial" w:hAnsi="Arial" w:cs="Arial"/>
        </w:rPr>
        <w:t xml:space="preserve">additional requirements </w:t>
      </w:r>
      <w:r>
        <w:rPr>
          <w:rFonts w:ascii="Arial" w:hAnsi="Arial" w:cs="Arial"/>
        </w:rPr>
        <w:t>set by the country or overseas university.</w:t>
      </w:r>
    </w:p>
    <w:p w14:paraId="084B9AED" w14:textId="77875381" w:rsidR="003074C2" w:rsidRDefault="003074C2" w:rsidP="008A1032">
      <w:pPr>
        <w:spacing w:before="120" w:after="120" w:line="240" w:lineRule="auto"/>
        <w:rPr>
          <w:rFonts w:ascii="Arial" w:hAnsi="Arial" w:cs="Arial"/>
        </w:rPr>
      </w:pPr>
    </w:p>
    <w:p w14:paraId="5783327D" w14:textId="5A6D95B5" w:rsidR="003074C2" w:rsidRDefault="003074C2" w:rsidP="008A1032">
      <w:pPr>
        <w:spacing w:before="120" w:after="120" w:line="240" w:lineRule="auto"/>
        <w:rPr>
          <w:rFonts w:ascii="Arial" w:hAnsi="Arial" w:cs="Arial"/>
        </w:rPr>
      </w:pPr>
    </w:p>
    <w:p w14:paraId="05F97EE1" w14:textId="54D51375" w:rsidR="003074C2" w:rsidRDefault="003074C2" w:rsidP="008A1032">
      <w:pPr>
        <w:spacing w:before="120" w:after="120" w:line="240" w:lineRule="auto"/>
        <w:rPr>
          <w:rFonts w:ascii="Arial" w:hAnsi="Arial" w:cs="Arial"/>
        </w:rPr>
      </w:pPr>
    </w:p>
    <w:p w14:paraId="4F852034" w14:textId="281381FE" w:rsidR="003074C2" w:rsidRDefault="003074C2" w:rsidP="008A1032">
      <w:pPr>
        <w:spacing w:before="120" w:after="120" w:line="240" w:lineRule="auto"/>
        <w:rPr>
          <w:rFonts w:ascii="Arial" w:hAnsi="Arial" w:cs="Arial"/>
        </w:rPr>
      </w:pPr>
    </w:p>
    <w:p w14:paraId="41315A02" w14:textId="1CA46B5A" w:rsidR="003074C2" w:rsidRDefault="003074C2" w:rsidP="008A1032">
      <w:pPr>
        <w:spacing w:before="120" w:after="120" w:line="240" w:lineRule="auto"/>
        <w:rPr>
          <w:rFonts w:ascii="Arial" w:hAnsi="Arial" w:cs="Arial"/>
        </w:rPr>
      </w:pPr>
    </w:p>
    <w:p w14:paraId="1D56E6E1" w14:textId="77777777" w:rsidR="003074C2" w:rsidRDefault="003074C2" w:rsidP="008A1032">
      <w:pPr>
        <w:spacing w:before="120" w:after="120" w:line="240" w:lineRule="auto"/>
        <w:rPr>
          <w:rFonts w:ascii="Arial" w:hAnsi="Arial" w:cs="Arial"/>
        </w:rPr>
      </w:pPr>
    </w:p>
    <w:p w14:paraId="29E40BA6" w14:textId="77777777" w:rsidR="003074C2" w:rsidRDefault="003074C2" w:rsidP="008A1032">
      <w:pPr>
        <w:spacing w:before="120" w:after="120" w:line="240" w:lineRule="auto"/>
        <w:rPr>
          <w:rFonts w:ascii="Arial" w:hAnsi="Arial" w:cs="Arial"/>
        </w:rPr>
      </w:pPr>
    </w:p>
    <w:p w14:paraId="2C9FA4D7" w14:textId="77777777" w:rsidR="003074C2" w:rsidRDefault="003074C2" w:rsidP="008A1032">
      <w:pPr>
        <w:spacing w:before="120" w:after="120" w:line="240" w:lineRule="auto"/>
        <w:rPr>
          <w:rFonts w:ascii="Arial" w:hAnsi="Arial" w:cs="Arial"/>
        </w:rPr>
      </w:pPr>
    </w:p>
    <w:p w14:paraId="0383952A" w14:textId="77777777" w:rsidR="003074C2" w:rsidRDefault="003074C2" w:rsidP="008A1032">
      <w:pPr>
        <w:spacing w:before="120" w:after="120" w:line="240" w:lineRule="auto"/>
        <w:rPr>
          <w:rFonts w:ascii="Arial" w:hAnsi="Arial" w:cs="Arial"/>
        </w:rPr>
      </w:pPr>
    </w:p>
    <w:p w14:paraId="69FE238D" w14:textId="77777777" w:rsidR="003074C2" w:rsidRDefault="003074C2" w:rsidP="008A1032">
      <w:pPr>
        <w:spacing w:before="120" w:after="120" w:line="240" w:lineRule="auto"/>
        <w:rPr>
          <w:rFonts w:ascii="Arial" w:hAnsi="Arial" w:cs="Arial"/>
        </w:rPr>
      </w:pPr>
    </w:p>
    <w:p w14:paraId="55A6DA5F" w14:textId="77777777" w:rsidR="003074C2" w:rsidRDefault="003074C2" w:rsidP="008A1032">
      <w:pPr>
        <w:spacing w:before="120" w:after="120" w:line="240" w:lineRule="auto"/>
        <w:rPr>
          <w:rFonts w:ascii="Arial" w:hAnsi="Arial" w:cs="Arial"/>
        </w:rPr>
      </w:pPr>
    </w:p>
    <w:p w14:paraId="009A67FD" w14:textId="13ED3E6B" w:rsidR="00F56808" w:rsidRPr="00F56808" w:rsidRDefault="00F56808" w:rsidP="00F56808">
      <w:pPr>
        <w:spacing w:before="120" w:after="120" w:line="240" w:lineRule="auto"/>
        <w:rPr>
          <w:rFonts w:ascii="Arial" w:hAnsi="Arial" w:cs="Arial"/>
        </w:rPr>
      </w:pPr>
    </w:p>
    <w:p w14:paraId="2B25779C" w14:textId="689BE917" w:rsidR="00F56808" w:rsidRPr="00F56808" w:rsidRDefault="003074C2" w:rsidP="003074C2">
      <w:pPr>
        <w:pStyle w:val="ListParagraph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subjects. </w:t>
      </w:r>
    </w:p>
    <w:p w14:paraId="576A5404" w14:textId="77777777" w:rsidR="00DD4BA5" w:rsidRPr="00DD4BA5" w:rsidRDefault="00DD4BA5" w:rsidP="00DD4BA5">
      <w:pPr>
        <w:rPr>
          <w:sz w:val="24"/>
          <w:szCs w:val="24"/>
        </w:rPr>
      </w:pPr>
    </w:p>
    <w:p w14:paraId="25260E13" w14:textId="722BAEF6" w:rsidR="00B90E2A" w:rsidRDefault="00B90E2A">
      <w:pPr>
        <w:rPr>
          <w:sz w:val="24"/>
          <w:szCs w:val="24"/>
        </w:rPr>
      </w:pPr>
      <w:bookmarkStart w:id="0" w:name="_GoBack"/>
      <w:bookmarkEnd w:id="0"/>
    </w:p>
    <w:p w14:paraId="10E41525" w14:textId="190BF6FF" w:rsidR="00631519" w:rsidRPr="00631519" w:rsidRDefault="00631519" w:rsidP="00631519">
      <w:pPr>
        <w:rPr>
          <w:sz w:val="24"/>
          <w:szCs w:val="24"/>
        </w:rPr>
      </w:pPr>
    </w:p>
    <w:p w14:paraId="7B0F6435" w14:textId="188441B6" w:rsidR="00631519" w:rsidRPr="00631519" w:rsidRDefault="00631519" w:rsidP="00631519">
      <w:pPr>
        <w:rPr>
          <w:sz w:val="24"/>
          <w:szCs w:val="24"/>
        </w:rPr>
      </w:pPr>
    </w:p>
    <w:p w14:paraId="24D9B1B8" w14:textId="4E83A813" w:rsidR="00631519" w:rsidRPr="00631519" w:rsidRDefault="00631519" w:rsidP="00631519">
      <w:pPr>
        <w:rPr>
          <w:sz w:val="24"/>
          <w:szCs w:val="24"/>
        </w:rPr>
      </w:pPr>
    </w:p>
    <w:p w14:paraId="2BD3BEA4" w14:textId="754555F8" w:rsidR="00631519" w:rsidRPr="00631519" w:rsidRDefault="00631519" w:rsidP="00631519">
      <w:pPr>
        <w:rPr>
          <w:sz w:val="24"/>
          <w:szCs w:val="24"/>
        </w:rPr>
      </w:pPr>
    </w:p>
    <w:p w14:paraId="7FFFF45D" w14:textId="194E9BEF" w:rsidR="00631519" w:rsidRPr="00631519" w:rsidRDefault="00631519" w:rsidP="00631519">
      <w:pPr>
        <w:rPr>
          <w:sz w:val="24"/>
          <w:szCs w:val="24"/>
        </w:rPr>
      </w:pPr>
    </w:p>
    <w:p w14:paraId="77C0D4F2" w14:textId="3BB63FCD" w:rsidR="00631519" w:rsidRPr="00631519" w:rsidRDefault="00631519" w:rsidP="00631519">
      <w:pPr>
        <w:rPr>
          <w:sz w:val="24"/>
          <w:szCs w:val="24"/>
        </w:rPr>
      </w:pPr>
    </w:p>
    <w:p w14:paraId="59BA66ED" w14:textId="5F0B6890" w:rsidR="00631519" w:rsidRPr="00631519" w:rsidRDefault="00631519" w:rsidP="00631519">
      <w:pPr>
        <w:rPr>
          <w:sz w:val="24"/>
          <w:szCs w:val="24"/>
        </w:rPr>
      </w:pPr>
    </w:p>
    <w:p w14:paraId="53B74DAE" w14:textId="3A2BDF3B" w:rsidR="00631519" w:rsidRPr="00631519" w:rsidRDefault="00631519" w:rsidP="00631519">
      <w:pPr>
        <w:rPr>
          <w:sz w:val="24"/>
          <w:szCs w:val="24"/>
        </w:rPr>
      </w:pPr>
    </w:p>
    <w:p w14:paraId="401FBE2A" w14:textId="1CCF2208" w:rsidR="00631519" w:rsidRPr="00631519" w:rsidRDefault="00631519" w:rsidP="00631519">
      <w:pPr>
        <w:tabs>
          <w:tab w:val="left" w:pos="363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31519" w:rsidRPr="00631519" w:rsidSect="00DF00F3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87A36" w14:textId="77777777" w:rsidR="00133706" w:rsidRDefault="00133706" w:rsidP="00133706">
      <w:pPr>
        <w:spacing w:after="0" w:line="240" w:lineRule="auto"/>
      </w:pPr>
      <w:r>
        <w:separator/>
      </w:r>
    </w:p>
  </w:endnote>
  <w:endnote w:type="continuationSeparator" w:id="0">
    <w:p w14:paraId="7D3BB66A" w14:textId="77777777" w:rsidR="00133706" w:rsidRDefault="00133706" w:rsidP="0013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0D062" w14:textId="77777777" w:rsidR="00133706" w:rsidRDefault="00133706" w:rsidP="00133706">
      <w:pPr>
        <w:spacing w:after="0" w:line="240" w:lineRule="auto"/>
      </w:pPr>
      <w:r>
        <w:separator/>
      </w:r>
    </w:p>
  </w:footnote>
  <w:footnote w:type="continuationSeparator" w:id="0">
    <w:p w14:paraId="752C0E32" w14:textId="77777777" w:rsidR="00133706" w:rsidRDefault="00133706" w:rsidP="00133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A7AFF"/>
    <w:multiLevelType w:val="hybridMultilevel"/>
    <w:tmpl w:val="C0504EE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04AD"/>
    <w:multiLevelType w:val="hybridMultilevel"/>
    <w:tmpl w:val="391A082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1DEE"/>
    <w:multiLevelType w:val="hybridMultilevel"/>
    <w:tmpl w:val="D980BDE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D5210"/>
    <w:multiLevelType w:val="hybridMultilevel"/>
    <w:tmpl w:val="E54ACDD4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E66BB5"/>
    <w:multiLevelType w:val="hybridMultilevel"/>
    <w:tmpl w:val="8196E44E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E6EDB"/>
    <w:multiLevelType w:val="hybridMultilevel"/>
    <w:tmpl w:val="3F62FE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3686B"/>
    <w:multiLevelType w:val="hybridMultilevel"/>
    <w:tmpl w:val="063C92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D3B12"/>
    <w:multiLevelType w:val="hybridMultilevel"/>
    <w:tmpl w:val="D99E0AF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B7"/>
    <w:rsid w:val="000D228E"/>
    <w:rsid w:val="00130A58"/>
    <w:rsid w:val="00133706"/>
    <w:rsid w:val="001344B7"/>
    <w:rsid w:val="0024232B"/>
    <w:rsid w:val="003074C2"/>
    <w:rsid w:val="0046102F"/>
    <w:rsid w:val="004B092E"/>
    <w:rsid w:val="004F6736"/>
    <w:rsid w:val="00595765"/>
    <w:rsid w:val="00626EF4"/>
    <w:rsid w:val="00631519"/>
    <w:rsid w:val="00664831"/>
    <w:rsid w:val="00665B9B"/>
    <w:rsid w:val="006D2CC3"/>
    <w:rsid w:val="00800715"/>
    <w:rsid w:val="00896803"/>
    <w:rsid w:val="008A1032"/>
    <w:rsid w:val="008D6B75"/>
    <w:rsid w:val="00956CDB"/>
    <w:rsid w:val="00A76BE1"/>
    <w:rsid w:val="00A940DD"/>
    <w:rsid w:val="00B90E2A"/>
    <w:rsid w:val="00BE7F69"/>
    <w:rsid w:val="00D23F62"/>
    <w:rsid w:val="00D72915"/>
    <w:rsid w:val="00DC70A2"/>
    <w:rsid w:val="00DD4BA5"/>
    <w:rsid w:val="00DF00F3"/>
    <w:rsid w:val="00DF5373"/>
    <w:rsid w:val="00EB68B6"/>
    <w:rsid w:val="00F56808"/>
    <w:rsid w:val="00F9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FF8F1B"/>
  <w15:chartTrackingRefBased/>
  <w15:docId w15:val="{B6C0A956-F0A1-450F-8CD1-3A88AE88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B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9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9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680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706"/>
  </w:style>
  <w:style w:type="paragraph" w:styleId="Footer">
    <w:name w:val="footer"/>
    <w:basedOn w:val="Normal"/>
    <w:link w:val="FooterChar"/>
    <w:uiPriority w:val="99"/>
    <w:unhideWhenUsed/>
    <w:rsid w:val="00133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qa.govt.nz/studying-in-new-zealand/secondary-school-and-ncea/international-recognition-of-ncea/" TargetMode="External"/><Relationship Id="rId13" Type="http://schemas.openxmlformats.org/officeDocument/2006/relationships/hyperlink" Target="http://fs.ncaa.org/Docs/eligibility_center/International_Information/International_IE_Flyer.pdf" TargetMode="External"/><Relationship Id="rId18" Type="http://schemas.openxmlformats.org/officeDocument/2006/relationships/hyperlink" Target="https://www.nzqa.govt.nz/qualifications-standards/results-2/ordering-result-document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nternationalunit@nzqa.govt.nz" TargetMode="External"/><Relationship Id="rId12" Type="http://schemas.openxmlformats.org/officeDocument/2006/relationships/hyperlink" Target="https://www.nzqa.govt.nz/qualifications-standards/results-2/ordering-result-documents/" TargetMode="External"/><Relationship Id="rId17" Type="http://schemas.openxmlformats.org/officeDocument/2006/relationships/hyperlink" Target="https://www.nzqa.govt.nz/studying-in-new-zealand/secondary-school-and-ncea/international-recognition-of-ncea/specific-country-requirements/german-recognition-requiremen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zqa.govt.nz/qualifications-standards/awards/university-entrance/entrance-to-overseas-tertiary-courses/entrance-to-australian-universitie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zqa.govt.nz/studying-in-new-zealand/secondary-school-and-ncea/international-recognition-of-ncea/specific-country-requirements/german-recognition-requirement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zqa.govt.nz/studying-in-new-zealand/secondary-school-and-ncea/international-recognition-of-ncea/specific-country-requirements" TargetMode="External"/><Relationship Id="rId10" Type="http://schemas.openxmlformats.org/officeDocument/2006/relationships/hyperlink" Target="https://www.nzqa.govt.nz/qualifications-standards/awards/university-entrance/entrance-to-overseas-tertiary-courses/entrance-to-australian-universities/" TargetMode="External"/><Relationship Id="rId19" Type="http://schemas.openxmlformats.org/officeDocument/2006/relationships/hyperlink" Target="http://fs.ncaa.org/Docs/eligibility_center/International_Information/International_IE_Fly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zqa.govt.nz/studying-in-new-zealand/secondary-school-and-ncea/international-recognition-of-ncea/specific-country-requirements" TargetMode="External"/><Relationship Id="rId14" Type="http://schemas.openxmlformats.org/officeDocument/2006/relationships/hyperlink" Target="https://www.nzqa.govt.nz/studying-in-new-zealand/secondary-school-and-ncea/international-recognition-of-nce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Black</dc:creator>
  <cp:keywords/>
  <dc:description/>
  <cp:lastModifiedBy>Geoff Meadows</cp:lastModifiedBy>
  <cp:revision>7</cp:revision>
  <cp:lastPrinted>2021-02-01T01:27:00Z</cp:lastPrinted>
  <dcterms:created xsi:type="dcterms:W3CDTF">2021-02-01T01:40:00Z</dcterms:created>
  <dcterms:modified xsi:type="dcterms:W3CDTF">2021-02-04T18:57:00Z</dcterms:modified>
</cp:coreProperties>
</file>