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44C" w:rsidTr="002D56DF">
        <w:tc>
          <w:tcPr>
            <w:tcW w:w="10456" w:type="dxa"/>
            <w:shd w:val="clear" w:color="auto" w:fill="9CC2E5" w:themeFill="accent1" w:themeFillTint="99"/>
          </w:tcPr>
          <w:p w:rsidR="00E5144C" w:rsidRDefault="00684E0F" w:rsidP="00684E0F">
            <w:pPr>
              <w:pStyle w:val="QRCTableHeader"/>
            </w:pPr>
            <w:r>
              <w:t>Contents</w:t>
            </w:r>
          </w:p>
        </w:tc>
      </w:tr>
      <w:tr w:rsidR="00E5144C" w:rsidTr="00EA0DC0">
        <w:tc>
          <w:tcPr>
            <w:tcW w:w="10456" w:type="dxa"/>
          </w:tcPr>
          <w:p w:rsidR="00E5144C" w:rsidRPr="003E01D8" w:rsidRDefault="00E5144C" w:rsidP="00EA0DC0">
            <w:pPr>
              <w:pStyle w:val="QRCBody"/>
            </w:pPr>
            <w:r>
              <w:t xml:space="preserve">This </w:t>
            </w:r>
            <w:r w:rsidR="000E6EF3">
              <w:t>guide</w:t>
            </w:r>
            <w:r w:rsidR="00684E0F" w:rsidRPr="00684E0F">
              <w:t xml:space="preserve"> </w:t>
            </w:r>
            <w:r>
              <w:t xml:space="preserve">contains information for schools and </w:t>
            </w:r>
            <w:r w:rsidR="00376685">
              <w:t xml:space="preserve">Tertiary Education Organisations (TEOs) </w:t>
            </w:r>
            <w:r>
              <w:t xml:space="preserve">who </w:t>
            </w:r>
            <w:r w:rsidR="00246D5B">
              <w:t xml:space="preserve">will use the external </w:t>
            </w:r>
            <w:r w:rsidR="00246D5B" w:rsidRPr="003E01D8">
              <w:t xml:space="preserve">moderation </w:t>
            </w:r>
            <w:r w:rsidR="004B110E" w:rsidRPr="003E01D8">
              <w:t>application</w:t>
            </w:r>
            <w:r w:rsidRPr="003E01D8">
              <w:t xml:space="preserve">. It contains </w:t>
            </w:r>
            <w:r w:rsidR="00992650" w:rsidRPr="003E01D8">
              <w:t xml:space="preserve">information </w:t>
            </w:r>
            <w:r w:rsidR="002F78EC">
              <w:t>on</w:t>
            </w:r>
            <w:r w:rsidRPr="003E01D8">
              <w:t>:</w:t>
            </w:r>
          </w:p>
          <w:p w:rsidR="002F78EC" w:rsidRDefault="007C7769" w:rsidP="00E5144C">
            <w:pPr>
              <w:pStyle w:val="QRCBody"/>
              <w:numPr>
                <w:ilvl w:val="0"/>
                <w:numId w:val="13"/>
              </w:numPr>
              <w:ind w:left="313"/>
            </w:pPr>
            <w:hyperlink w:anchor="_Login" w:history="1">
              <w:r w:rsidR="002F78EC" w:rsidRPr="002F78EC">
                <w:rPr>
                  <w:rStyle w:val="Hyperlink"/>
                </w:rPr>
                <w:t>Login</w:t>
              </w:r>
            </w:hyperlink>
          </w:p>
          <w:p w:rsidR="002F78EC" w:rsidRDefault="007C7769" w:rsidP="00E5144C">
            <w:pPr>
              <w:pStyle w:val="QRCBody"/>
              <w:numPr>
                <w:ilvl w:val="0"/>
                <w:numId w:val="13"/>
              </w:numPr>
              <w:ind w:left="313"/>
            </w:pPr>
            <w:hyperlink w:anchor="_Navigation" w:history="1">
              <w:r w:rsidR="002F78EC" w:rsidRPr="002F78EC">
                <w:rPr>
                  <w:rStyle w:val="Hyperlink"/>
                </w:rPr>
                <w:t>Navigation</w:t>
              </w:r>
            </w:hyperlink>
          </w:p>
          <w:p w:rsidR="00631697" w:rsidRDefault="007C7769" w:rsidP="00631697">
            <w:pPr>
              <w:pStyle w:val="QRCBody"/>
              <w:numPr>
                <w:ilvl w:val="0"/>
                <w:numId w:val="13"/>
              </w:numPr>
              <w:ind w:left="313"/>
            </w:pPr>
            <w:hyperlink w:anchor="_User_Access" w:history="1">
              <w:r w:rsidR="00B85C60" w:rsidRPr="00B85C60">
                <w:rPr>
                  <w:rStyle w:val="Hyperlink"/>
                </w:rPr>
                <w:t>User Access</w:t>
              </w:r>
            </w:hyperlink>
          </w:p>
          <w:p w:rsidR="00EF7C9F" w:rsidRDefault="007C7769" w:rsidP="00631697">
            <w:pPr>
              <w:pStyle w:val="QRCBody"/>
              <w:numPr>
                <w:ilvl w:val="0"/>
                <w:numId w:val="13"/>
              </w:numPr>
              <w:ind w:left="313"/>
            </w:pPr>
            <w:hyperlink w:anchor="_Manage_Notifications" w:history="1">
              <w:r w:rsidR="00B85C60" w:rsidRPr="00B85C60">
                <w:rPr>
                  <w:rStyle w:val="Hyperlink"/>
                </w:rPr>
                <w:t>Manage Notifications</w:t>
              </w:r>
            </w:hyperlink>
          </w:p>
          <w:p w:rsidR="002F78EC" w:rsidRDefault="002F78EC" w:rsidP="002F78EC">
            <w:pPr>
              <w:pStyle w:val="QRCBody"/>
              <w:ind w:left="-47"/>
            </w:pPr>
          </w:p>
          <w:p w:rsidR="00B85C60" w:rsidRDefault="00B85C60" w:rsidP="002F78EC">
            <w:pPr>
              <w:pStyle w:val="QRCBody"/>
              <w:ind w:left="-47"/>
            </w:pPr>
            <w:r w:rsidRPr="00BA5909">
              <w:t xml:space="preserve">For a full list of guides to the External Moderation Application see: </w:t>
            </w:r>
            <w:hyperlink w:anchor="_Related_Guides" w:history="1">
              <w:r w:rsidR="00FC27D4" w:rsidRPr="00FC27D4">
                <w:rPr>
                  <w:rStyle w:val="Hyperlink"/>
                </w:rPr>
                <w:t>Related Guides</w:t>
              </w:r>
            </w:hyperlink>
          </w:p>
        </w:tc>
      </w:tr>
    </w:tbl>
    <w:p w:rsidR="00E5144C" w:rsidRDefault="00E5144C"/>
    <w:p w:rsidR="002F78EC" w:rsidRDefault="002F78EC" w:rsidP="002F78EC">
      <w:pPr>
        <w:pStyle w:val="Heading1"/>
      </w:pPr>
      <w:bookmarkStart w:id="0" w:name="_Login"/>
      <w:bookmarkEnd w:id="0"/>
      <w:r>
        <w:t>Login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F84" w:rsidTr="002D56DF">
        <w:tc>
          <w:tcPr>
            <w:tcW w:w="10456" w:type="dxa"/>
            <w:shd w:val="clear" w:color="auto" w:fill="9CC2E5" w:themeFill="accent1" w:themeFillTint="99"/>
          </w:tcPr>
          <w:p w:rsidR="003D0F84" w:rsidRPr="003E01D8" w:rsidRDefault="000C5495" w:rsidP="004C68EB">
            <w:pPr>
              <w:pStyle w:val="QRCTableHeader"/>
            </w:pPr>
            <w:r w:rsidRPr="003E01D8">
              <w:t xml:space="preserve">Log in to the external moderation </w:t>
            </w:r>
            <w:r w:rsidR="004B110E" w:rsidRPr="003E01D8">
              <w:t>application</w:t>
            </w:r>
          </w:p>
        </w:tc>
      </w:tr>
      <w:tr w:rsidR="003D0F84" w:rsidTr="009F2DFD">
        <w:tc>
          <w:tcPr>
            <w:tcW w:w="10456" w:type="dxa"/>
          </w:tcPr>
          <w:p w:rsidR="003D0F84" w:rsidRPr="003E01D8" w:rsidRDefault="00994392" w:rsidP="007711A6">
            <w:pPr>
              <w:pStyle w:val="QRCBody"/>
              <w:numPr>
                <w:ilvl w:val="0"/>
                <w:numId w:val="17"/>
              </w:numPr>
            </w:pPr>
            <w:r w:rsidRPr="003E01D8">
              <w:t>Log in to the secure provider extranet</w:t>
            </w:r>
            <w:r w:rsidR="00421282">
              <w:t xml:space="preserve"> (Provider Login)</w:t>
            </w:r>
            <w:r w:rsidR="00CB7CBF" w:rsidRPr="003E01D8">
              <w:t xml:space="preserve">, using your </w:t>
            </w:r>
            <w:r w:rsidR="008B2FE3">
              <w:t>usual Education Sector (</w:t>
            </w:r>
            <w:r w:rsidR="002F78EC">
              <w:t>ESL/</w:t>
            </w:r>
            <w:r w:rsidR="00CB7CBF" w:rsidRPr="003E01D8">
              <w:t>ESAA</w:t>
            </w:r>
            <w:r w:rsidR="008B2FE3">
              <w:t>)</w:t>
            </w:r>
            <w:r w:rsidR="00CB7CBF" w:rsidRPr="003E01D8">
              <w:t xml:space="preserve"> login details</w:t>
            </w:r>
            <w:r w:rsidRPr="003E01D8">
              <w:t>.</w:t>
            </w:r>
          </w:p>
          <w:p w:rsidR="002D56DF" w:rsidRDefault="00767C03" w:rsidP="002D56DF">
            <w:pPr>
              <w:pStyle w:val="QRCBody"/>
              <w:numPr>
                <w:ilvl w:val="0"/>
                <w:numId w:val="17"/>
              </w:numPr>
            </w:pPr>
            <w:r w:rsidRPr="003E01D8">
              <w:t>Select</w:t>
            </w:r>
            <w:r w:rsidR="00994392" w:rsidRPr="003E01D8">
              <w:t xml:space="preserve"> the </w:t>
            </w:r>
            <w:r w:rsidR="00994392" w:rsidRPr="003E01D8">
              <w:rPr>
                <w:b/>
              </w:rPr>
              <w:t>External Moderation</w:t>
            </w:r>
            <w:r w:rsidR="00994392" w:rsidRPr="003E01D8">
              <w:t xml:space="preserve"> link from the Moderation section.</w:t>
            </w:r>
          </w:p>
          <w:p w:rsidR="00CB7CBF" w:rsidRDefault="00363F90" w:rsidP="002D56DF">
            <w:pPr>
              <w:pStyle w:val="QRCBody"/>
              <w:numPr>
                <w:ilvl w:val="0"/>
                <w:numId w:val="17"/>
              </w:numPr>
            </w:pPr>
            <w:r w:rsidRPr="003E01D8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A7F88E" wp14:editId="08F726FF">
                      <wp:simplePos x="0" y="0"/>
                      <wp:positionH relativeFrom="column">
                        <wp:posOffset>9442450</wp:posOffset>
                      </wp:positionH>
                      <wp:positionV relativeFrom="paragraph">
                        <wp:posOffset>755015</wp:posOffset>
                      </wp:positionV>
                      <wp:extent cx="2700000" cy="2679699"/>
                      <wp:effectExtent l="0" t="0" r="24765" b="26035"/>
                      <wp:wrapNone/>
                      <wp:docPr id="9" name="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679699"/>
                              </a:xfrm>
                              <a:prstGeom prst="wedgeRectCallout">
                                <a:avLst>
                                  <a:gd name="adj1" fmla="val 48510"/>
                                  <a:gd name="adj2" fmla="val 20833"/>
                                </a:avLst>
                              </a:prstGeom>
                              <a:solidFill>
                                <a:srgbClr val="E8E8E3"/>
                              </a:solidFill>
                              <a:ln w="25400" cap="flat" cmpd="sng" algn="ctr">
                                <a:solidFill>
                                  <a:srgbClr val="7C212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F90" w:rsidRDefault="00363F90" w:rsidP="00363F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ill Sans MT" w:eastAsia="+mn-ea" w:hAnsi="Gill Sans MT" w:cs="+mn-cs"/>
                                      <w:color w:val="30383A"/>
                                      <w:kern w:val="24"/>
                                      <w:sz w:val="36"/>
                                      <w:szCs w:val="36"/>
                                    </w:rPr>
                                    <w:t>The secure extranet will look different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A7F88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5" o:spid="_x0000_s1026" type="#_x0000_t61" style="position:absolute;left:0;text-align:left;margin-left:743.5pt;margin-top:59.45pt;width:212.6pt;height:2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" adj="21278,15300" fillcolor="#e8e8e3" strokecolor="#7c2128" strokeweight="2pt">
                      <v:textbox>
                        <w:txbxContent>
                          <w:p w:rsidR="00363F90" w:rsidRDefault="00363F90" w:rsidP="00363F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color w:val="30383A"/>
                                <w:kern w:val="24"/>
                                <w:sz w:val="36"/>
                                <w:szCs w:val="36"/>
                              </w:rPr>
                              <w:t>The secure extranet will look 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1D8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FBC16" wp14:editId="66FF5B5A">
                      <wp:simplePos x="0" y="0"/>
                      <wp:positionH relativeFrom="column">
                        <wp:posOffset>9442450</wp:posOffset>
                      </wp:positionH>
                      <wp:positionV relativeFrom="paragraph">
                        <wp:posOffset>153035</wp:posOffset>
                      </wp:positionV>
                      <wp:extent cx="2700000" cy="615057"/>
                      <wp:effectExtent l="0" t="0" r="24765" b="13970"/>
                      <wp:wrapNone/>
                      <wp:docPr id="1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15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C2128"/>
                              </a:solidFill>
                              <a:ln w="12700" cap="flat" cmpd="sng" algn="ctr">
                                <a:solidFill>
                                  <a:srgbClr val="7C212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F90" w:rsidRDefault="00363F90" w:rsidP="00363F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ill Sans MT" w:eastAsia="+mn-ea" w:hAnsi="Gill Sans MT" w:cs="+mn-cs"/>
                                      <w:color w:val="FFFFFF"/>
                                      <w:kern w:val="24"/>
                                      <w:sz w:val="36"/>
                                      <w:szCs w:val="36"/>
                                    </w:rPr>
                                    <w:t>TIP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FBC16" id="Rectangle 6" o:spid="_x0000_s1027" style="position:absolute;left:0;text-align:left;margin-left:743.5pt;margin-top:12.05pt;width:212.6pt;height:4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" fillcolor="#7c2128" strokecolor="#7c2128" strokeweight="1pt">
                      <v:textbox>
                        <w:txbxContent>
                          <w:p w:rsidR="00363F90" w:rsidRDefault="00363F90" w:rsidP="00363F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TIP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01D8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070D9" wp14:editId="27D616EA">
                      <wp:simplePos x="0" y="0"/>
                      <wp:positionH relativeFrom="column">
                        <wp:posOffset>9290050</wp:posOffset>
                      </wp:positionH>
                      <wp:positionV relativeFrom="paragraph">
                        <wp:posOffset>602615</wp:posOffset>
                      </wp:positionV>
                      <wp:extent cx="2700000" cy="2679699"/>
                      <wp:effectExtent l="0" t="0" r="24765" b="26035"/>
                      <wp:wrapNone/>
                      <wp:docPr id="6" name="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679699"/>
                              </a:xfrm>
                              <a:prstGeom prst="wedgeRectCallout">
                                <a:avLst>
                                  <a:gd name="adj1" fmla="val 48510"/>
                                  <a:gd name="adj2" fmla="val 20833"/>
                                </a:avLst>
                              </a:prstGeom>
                              <a:solidFill>
                                <a:srgbClr val="E8E8E3"/>
                              </a:solidFill>
                              <a:ln w="25400">
                                <a:solidFill>
                                  <a:srgbClr val="7C21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F90" w:rsidRDefault="00363F90" w:rsidP="00363F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30383A"/>
                                      <w:kern w:val="24"/>
                                      <w:sz w:val="36"/>
                                      <w:szCs w:val="36"/>
                                    </w:rPr>
                                    <w:t>The secure extranet will look different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070D9" id="_x0000_s1028" type="#_x0000_t61" style="position:absolute;left:0;text-align:left;margin-left:731.5pt;margin-top:47.45pt;width:212.6pt;height:2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" adj="21278,15300" fillcolor="#e8e8e3" strokecolor="#7c2128" strokeweight="2pt">
                      <v:textbox>
                        <w:txbxContent>
                          <w:p w:rsidR="00363F90" w:rsidRDefault="00363F90" w:rsidP="00363F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30383A"/>
                                <w:kern w:val="24"/>
                                <w:sz w:val="36"/>
                                <w:szCs w:val="36"/>
                              </w:rPr>
                              <w:t>The secure extranet will look 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1D8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9E001" wp14:editId="56536DC3">
                      <wp:simplePos x="0" y="0"/>
                      <wp:positionH relativeFrom="column">
                        <wp:posOffset>9290050</wp:posOffset>
                      </wp:positionH>
                      <wp:positionV relativeFrom="paragraph">
                        <wp:posOffset>635</wp:posOffset>
                      </wp:positionV>
                      <wp:extent cx="2700000" cy="615057"/>
                      <wp:effectExtent l="0" t="0" r="24765" b="13970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15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C2128"/>
                              </a:solidFill>
                              <a:ln>
                                <a:solidFill>
                                  <a:srgbClr val="7C21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F90" w:rsidRDefault="00363F90" w:rsidP="00363F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TIP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9E001" id="_x0000_s1029" style="position:absolute;left:0;text-align:left;margin-left:731.5pt;margin-top:.05pt;width:212.6pt;height:4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" fillcolor="#7c2128" strokecolor="#7c2128" strokeweight="1pt">
                      <v:textbox>
                        <w:txbxContent>
                          <w:p w:rsidR="00363F90" w:rsidRDefault="00363F90" w:rsidP="00363F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TIP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CBF" w:rsidRPr="003E01D8">
              <w:t xml:space="preserve">The landing page of the </w:t>
            </w:r>
            <w:r w:rsidR="004B110E" w:rsidRPr="003E01D8">
              <w:t xml:space="preserve">application </w:t>
            </w:r>
            <w:r w:rsidR="00CB7CBF" w:rsidRPr="003E01D8">
              <w:t xml:space="preserve">displays. </w:t>
            </w:r>
            <w:r w:rsidR="00C0349F" w:rsidRPr="003E01D8">
              <w:t xml:space="preserve">You can now navigate to the appropriate part of the </w:t>
            </w:r>
            <w:r w:rsidR="004B110E" w:rsidRPr="003E01D8">
              <w:t>application</w:t>
            </w:r>
            <w:r w:rsidR="00C0349F" w:rsidRPr="003E01D8">
              <w:t>.</w:t>
            </w:r>
          </w:p>
          <w:p w:rsidR="00B85C60" w:rsidRDefault="00B85C60" w:rsidP="00B85C60">
            <w:pPr>
              <w:pStyle w:val="QRCBody"/>
            </w:pPr>
            <w:r w:rsidRPr="00B85C60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233680</wp:posOffset>
                  </wp:positionV>
                  <wp:extent cx="3380952" cy="2200000"/>
                  <wp:effectExtent l="190500" t="190500" r="181610" b="18161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952" cy="22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85C60">
              <w:rPr>
                <w:b/>
              </w:rPr>
              <w:t>Note</w:t>
            </w:r>
            <w:r>
              <w:t xml:space="preserve">: </w:t>
            </w:r>
          </w:p>
          <w:p w:rsidR="00B85C60" w:rsidRPr="003E01D8" w:rsidRDefault="00B85C60" w:rsidP="00B85C60">
            <w:pPr>
              <w:pStyle w:val="QRCBody"/>
            </w:pPr>
            <w:r>
              <w:t>Access to historical results (prior to 2017) via the Historical Moderation link. Moderation results for 2017 onwards is via the new external moderation application (see below).</w:t>
            </w:r>
          </w:p>
        </w:tc>
      </w:tr>
    </w:tbl>
    <w:p w:rsidR="008B2FE3" w:rsidRDefault="008B2FE3">
      <w:pPr>
        <w:rPr>
          <w:b/>
        </w:rPr>
      </w:pPr>
    </w:p>
    <w:p w:rsidR="008B2FE3" w:rsidRDefault="008B2FE3">
      <w:pPr>
        <w:rPr>
          <w:b/>
        </w:rPr>
      </w:pPr>
      <w:r>
        <w:rPr>
          <w:b/>
        </w:rPr>
        <w:br w:type="page"/>
      </w:r>
    </w:p>
    <w:p w:rsidR="002F78EC" w:rsidRDefault="002F78EC" w:rsidP="002F78EC">
      <w:pPr>
        <w:pStyle w:val="Heading1"/>
      </w:pPr>
      <w:bookmarkStart w:id="1" w:name="_Navigation"/>
      <w:bookmarkEnd w:id="1"/>
      <w:r>
        <w:lastRenderedPageBreak/>
        <w:t>Navigation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2BBD" w:rsidTr="002D56DF">
        <w:tc>
          <w:tcPr>
            <w:tcW w:w="10456" w:type="dxa"/>
            <w:shd w:val="clear" w:color="auto" w:fill="9CC2E5" w:themeFill="accent1" w:themeFillTint="99"/>
          </w:tcPr>
          <w:p w:rsidR="00472BBD" w:rsidRDefault="000E6EF3" w:rsidP="00B36516">
            <w:pPr>
              <w:pStyle w:val="QRCTableHeader"/>
            </w:pPr>
            <w:r>
              <w:t>Navigate the application</w:t>
            </w:r>
          </w:p>
        </w:tc>
      </w:tr>
      <w:tr w:rsidR="00A16FBF" w:rsidTr="00DC37EB">
        <w:tc>
          <w:tcPr>
            <w:tcW w:w="10456" w:type="dxa"/>
          </w:tcPr>
          <w:p w:rsidR="00A16FBF" w:rsidRDefault="00B85C60" w:rsidP="00DC37EB">
            <w:pPr>
              <w:pStyle w:val="QRCBody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190500</wp:posOffset>
                  </wp:positionV>
                  <wp:extent cx="5170805" cy="1890395"/>
                  <wp:effectExtent l="190500" t="190500" r="182245" b="1860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189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FBF">
              <w:t>L</w:t>
            </w:r>
            <w:r w:rsidR="00CB7CBF">
              <w:t>anding page</w:t>
            </w:r>
          </w:p>
          <w:p w:rsidR="002B0FB0" w:rsidRDefault="002B0FB0" w:rsidP="00DC37EB">
            <w:pPr>
              <w:pStyle w:val="QRCBody"/>
            </w:pPr>
          </w:p>
          <w:p w:rsidR="00490F6E" w:rsidRDefault="00494735" w:rsidP="00B65EB2">
            <w:pPr>
              <w:pStyle w:val="QRCBody"/>
              <w:numPr>
                <w:ilvl w:val="0"/>
                <w:numId w:val="20"/>
              </w:numPr>
            </w:pPr>
            <w:r>
              <w:t xml:space="preserve">NZQA Logo – click on the logo </w:t>
            </w:r>
            <w:r w:rsidR="00B65EB2">
              <w:t>to return to the landing page from</w:t>
            </w:r>
            <w:r>
              <w:t xml:space="preserve"> anywhere in the application</w:t>
            </w:r>
            <w:r w:rsidR="00B65EB2">
              <w:t>.</w:t>
            </w:r>
          </w:p>
          <w:p w:rsidR="00494735" w:rsidRDefault="00B65EB2" w:rsidP="00B65EB2">
            <w:pPr>
              <w:pStyle w:val="QRCBody"/>
              <w:numPr>
                <w:ilvl w:val="0"/>
                <w:numId w:val="2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2929902</wp:posOffset>
                  </wp:positionH>
                  <wp:positionV relativeFrom="paragraph">
                    <wp:posOffset>342265</wp:posOffset>
                  </wp:positionV>
                  <wp:extent cx="977900" cy="724535"/>
                  <wp:effectExtent l="133350" t="114300" r="107950" b="15176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24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735">
              <w:t xml:space="preserve">Menu Buttons – provide access to different </w:t>
            </w:r>
            <w:r>
              <w:t>parts of the application. The buttons available are dependent on your access.</w:t>
            </w:r>
          </w:p>
          <w:p w:rsidR="00B65EB2" w:rsidRDefault="00B65EB2" w:rsidP="00B65EB2">
            <w:pPr>
              <w:pStyle w:val="QRCBody"/>
              <w:numPr>
                <w:ilvl w:val="0"/>
                <w:numId w:val="20"/>
              </w:numPr>
            </w:pPr>
            <w:r>
              <w:t xml:space="preserve">User Profile – click here to ‘Logout’.  </w:t>
            </w:r>
          </w:p>
          <w:p w:rsidR="004B110E" w:rsidRDefault="004B110E" w:rsidP="00B65EB2">
            <w:pPr>
              <w:pStyle w:val="QRCBody"/>
            </w:pPr>
          </w:p>
        </w:tc>
      </w:tr>
      <w:tr w:rsidR="00472BBD" w:rsidTr="00DC37EB">
        <w:tc>
          <w:tcPr>
            <w:tcW w:w="10456" w:type="dxa"/>
          </w:tcPr>
          <w:p w:rsidR="00A81836" w:rsidRDefault="00A81836" w:rsidP="007E20DB">
            <w:pPr>
              <w:pStyle w:val="QRCBody"/>
            </w:pPr>
            <w:r>
              <w:t>.</w:t>
            </w:r>
          </w:p>
          <w:tbl>
            <w:tblPr>
              <w:tblStyle w:val="TableGrid"/>
              <w:tblW w:w="0" w:type="auto"/>
              <w:tblInd w:w="24" w:type="dxa"/>
              <w:tblLook w:val="0420" w:firstRow="1" w:lastRow="0" w:firstColumn="0" w:lastColumn="0" w:noHBand="0" w:noVBand="1"/>
            </w:tblPr>
            <w:tblGrid>
              <w:gridCol w:w="2706"/>
              <w:gridCol w:w="7500"/>
            </w:tblGrid>
            <w:tr w:rsidR="00B65EB2" w:rsidTr="0021305C">
              <w:tc>
                <w:tcPr>
                  <w:tcW w:w="2410" w:type="dxa"/>
                  <w:shd w:val="clear" w:color="auto" w:fill="D3D9DB"/>
                </w:tcPr>
                <w:p w:rsidR="009D0661" w:rsidRDefault="009D0661" w:rsidP="009D0661">
                  <w:pPr>
                    <w:pStyle w:val="QRCTableHeader"/>
                  </w:pPr>
                  <w:r>
                    <w:t>Button</w:t>
                  </w:r>
                </w:p>
              </w:tc>
              <w:tc>
                <w:tcPr>
                  <w:tcW w:w="7796" w:type="dxa"/>
                  <w:shd w:val="clear" w:color="auto" w:fill="D3D9DB"/>
                </w:tcPr>
                <w:p w:rsidR="009D0661" w:rsidRDefault="009D0661" w:rsidP="009D0661">
                  <w:pPr>
                    <w:pStyle w:val="QRCTableHeader"/>
                  </w:pPr>
                  <w:r>
                    <w:t>Section</w:t>
                  </w:r>
                </w:p>
              </w:tc>
            </w:tr>
            <w:tr w:rsidR="00B65EB2" w:rsidRPr="00C9748A" w:rsidTr="005D37BA">
              <w:tc>
                <w:tcPr>
                  <w:tcW w:w="2410" w:type="dxa"/>
                </w:tcPr>
                <w:p w:rsidR="009D0661" w:rsidRPr="00C9748A" w:rsidRDefault="00B65EB2" w:rsidP="009D0661">
                  <w:pPr>
                    <w:pStyle w:val="QRCBody"/>
                  </w:pPr>
                  <w:r>
                    <w:rPr>
                      <w:noProof/>
                    </w:rPr>
                    <w:drawing>
                      <wp:inline distT="0" distB="0" distL="0" distR="0" wp14:anchorId="3743AC97" wp14:editId="74C1D73E">
                        <wp:extent cx="1543198" cy="29329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732" cy="302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</w:tcPr>
                <w:p w:rsidR="00774350" w:rsidRDefault="00A81836" w:rsidP="00CC66FA">
                  <w:pPr>
                    <w:pStyle w:val="QRCBody"/>
                  </w:pPr>
                  <w:r>
                    <w:t>View your current Assessment Plan, select standards, and submit your plan</w:t>
                  </w:r>
                  <w:r w:rsidR="00CC66FA" w:rsidRPr="00774350">
                    <w:t xml:space="preserve">. </w:t>
                  </w:r>
                </w:p>
                <w:p w:rsidR="00A462C5" w:rsidRPr="009D0661" w:rsidRDefault="00A462C5" w:rsidP="009D0661">
                  <w:pPr>
                    <w:pStyle w:val="QRCBody"/>
                    <w:rPr>
                      <w:highlight w:val="yellow"/>
                    </w:rPr>
                  </w:pPr>
                  <w:r w:rsidRPr="00774350">
                    <w:t xml:space="preserve">Refer to </w:t>
                  </w:r>
                  <w:r w:rsidR="00B85C60">
                    <w:t xml:space="preserve">the guide </w:t>
                  </w:r>
                  <w:r w:rsidRPr="00774350">
                    <w:rPr>
                      <w:i/>
                    </w:rPr>
                    <w:t xml:space="preserve">Submit </w:t>
                  </w:r>
                  <w:r w:rsidR="00BE1632" w:rsidRPr="00774350">
                    <w:rPr>
                      <w:i/>
                    </w:rPr>
                    <w:t>assessment plan</w:t>
                  </w:r>
                  <w:r w:rsidR="00BE1632" w:rsidRPr="00774350">
                    <w:t xml:space="preserve"> </w:t>
                  </w:r>
                  <w:r w:rsidRPr="00774350">
                    <w:t>for more information about this section.</w:t>
                  </w:r>
                </w:p>
              </w:tc>
            </w:tr>
            <w:tr w:rsidR="00B65EB2" w:rsidRPr="00C9748A" w:rsidTr="005D37BA">
              <w:tc>
                <w:tcPr>
                  <w:tcW w:w="2410" w:type="dxa"/>
                </w:tcPr>
                <w:p w:rsidR="009D0661" w:rsidRDefault="00B65EB2" w:rsidP="009D0661">
                  <w:pPr>
                    <w:pStyle w:val="QRCBody"/>
                  </w:pPr>
                  <w:r>
                    <w:rPr>
                      <w:noProof/>
                    </w:rPr>
                    <w:drawing>
                      <wp:inline distT="0" distB="0" distL="0" distR="0" wp14:anchorId="08639489" wp14:editId="41A774F5">
                        <wp:extent cx="1543050" cy="264651"/>
                        <wp:effectExtent l="0" t="0" r="0" b="254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94" cy="274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</w:tcPr>
                <w:p w:rsidR="00477904" w:rsidRDefault="00A81836" w:rsidP="00477904">
                  <w:pPr>
                    <w:pStyle w:val="QRCBody"/>
                  </w:pPr>
                  <w:r>
                    <w:t>View</w:t>
                  </w:r>
                  <w:r w:rsidR="00B65EB2">
                    <w:t xml:space="preserve"> moderation plans for the current and previous (or next cycle),</w:t>
                  </w:r>
                  <w:r>
                    <w:t xml:space="preserve"> prepare moderation submissions, </w:t>
                  </w:r>
                  <w:r w:rsidR="00B65EB2">
                    <w:t>view reports</w:t>
                  </w:r>
                  <w:r>
                    <w:t>, and submit queries and appeals for moderation reports</w:t>
                  </w:r>
                  <w:r w:rsidR="00B65EB2">
                    <w:t>.</w:t>
                  </w:r>
                </w:p>
                <w:p w:rsidR="00A462C5" w:rsidRPr="009D0661" w:rsidRDefault="00BE1632" w:rsidP="00477904">
                  <w:pPr>
                    <w:pStyle w:val="QRCBody"/>
                    <w:rPr>
                      <w:highlight w:val="yellow"/>
                    </w:rPr>
                  </w:pPr>
                  <w:r w:rsidRPr="00774350">
                    <w:t xml:space="preserve">Refer to </w:t>
                  </w:r>
                  <w:r w:rsidR="00B85C60">
                    <w:t>the guide</w:t>
                  </w:r>
                  <w:r w:rsidRPr="00774350">
                    <w:rPr>
                      <w:i/>
                    </w:rPr>
                    <w:t xml:space="preserve"> Submit </w:t>
                  </w:r>
                  <w:r>
                    <w:rPr>
                      <w:i/>
                    </w:rPr>
                    <w:t>material for moderation</w:t>
                  </w:r>
                  <w:r w:rsidRPr="00774350">
                    <w:t xml:space="preserve"> for more information about this section.</w:t>
                  </w:r>
                </w:p>
              </w:tc>
            </w:tr>
            <w:tr w:rsidR="00B65EB2" w:rsidRPr="00C9748A" w:rsidTr="005D37BA">
              <w:tc>
                <w:tcPr>
                  <w:tcW w:w="2410" w:type="dxa"/>
                </w:tcPr>
                <w:p w:rsidR="00B65EB2" w:rsidRPr="00CC66FA" w:rsidRDefault="00B85C60" w:rsidP="00CC66FA">
                  <w:pPr>
                    <w:pStyle w:val="QRCBody"/>
                  </w:pPr>
                  <w:r>
                    <w:rPr>
                      <w:noProof/>
                    </w:rPr>
                    <w:drawing>
                      <wp:inline distT="0" distB="0" distL="0" distR="0" wp14:anchorId="1070E1D2" wp14:editId="5593E7A4">
                        <wp:extent cx="1543050" cy="296740"/>
                        <wp:effectExtent l="0" t="0" r="0" b="825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0992" cy="302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</w:tcPr>
                <w:p w:rsidR="00A462C5" w:rsidRPr="00CC66FA" w:rsidRDefault="002D56DF" w:rsidP="00442E98">
                  <w:pPr>
                    <w:pStyle w:val="QRCBody"/>
                    <w:rPr>
                      <w:highlight w:val="yellow"/>
                    </w:rPr>
                  </w:pPr>
                  <w:r>
                    <w:t>V</w:t>
                  </w:r>
                  <w:r w:rsidR="00CC66FA">
                    <w:t>iew moderation results and</w:t>
                  </w:r>
                  <w:r w:rsidR="00CC66FA" w:rsidRPr="00CC66FA">
                    <w:t xml:space="preserve"> reports</w:t>
                  </w:r>
                  <w:r w:rsidR="00CC66FA">
                    <w:t xml:space="preserve"> for </w:t>
                  </w:r>
                  <w:r w:rsidR="001A6563">
                    <w:t xml:space="preserve">the </w:t>
                  </w:r>
                  <w:r w:rsidR="00CC66FA">
                    <w:t xml:space="preserve">previous </w:t>
                  </w:r>
                  <w:r w:rsidR="00305D3A">
                    <w:t xml:space="preserve">five </w:t>
                  </w:r>
                  <w:r w:rsidR="00CC66FA">
                    <w:t>years</w:t>
                  </w:r>
                  <w:r w:rsidR="00B85C60">
                    <w:t xml:space="preserve"> (from 2017 onwards)</w:t>
                  </w:r>
                  <w:r w:rsidR="002F78EC">
                    <w:t>.</w:t>
                  </w:r>
                  <w:r w:rsidR="00B85C60">
                    <w:t xml:space="preserve"> Results prior to 2017 are available via the Historical moderation link</w:t>
                  </w:r>
                </w:p>
              </w:tc>
            </w:tr>
            <w:tr w:rsidR="00B65EB2" w:rsidRPr="00C9748A" w:rsidTr="005D37BA">
              <w:tc>
                <w:tcPr>
                  <w:tcW w:w="2410" w:type="dxa"/>
                </w:tcPr>
                <w:p w:rsidR="00B65EB2" w:rsidRDefault="009D0661" w:rsidP="009D0661">
                  <w:pPr>
                    <w:pStyle w:val="QRCBody"/>
                  </w:pPr>
                  <w:r>
                    <w:t>Annual Summaries</w:t>
                  </w:r>
                </w:p>
              </w:tc>
              <w:tc>
                <w:tcPr>
                  <w:tcW w:w="7796" w:type="dxa"/>
                </w:tcPr>
                <w:p w:rsidR="00A462C5" w:rsidRPr="00B65EB2" w:rsidRDefault="002D56DF" w:rsidP="002D56DF">
                  <w:pPr>
                    <w:pStyle w:val="QRCBody"/>
                  </w:pPr>
                  <w:r>
                    <w:t>V</w:t>
                  </w:r>
                  <w:r w:rsidR="00CC66FA">
                    <w:t>iew the current annual summary (NEMR), and action plan</w:t>
                  </w:r>
                  <w:r>
                    <w:t xml:space="preserve">, and access </w:t>
                  </w:r>
                  <w:r w:rsidR="00CC66FA" w:rsidRPr="008F1935">
                    <w:t>historical summaries and action plans</w:t>
                  </w:r>
                  <w:r w:rsidR="008B2FE3">
                    <w:t xml:space="preserve"> (currently unavailable).</w:t>
                  </w:r>
                </w:p>
              </w:tc>
            </w:tr>
            <w:tr w:rsidR="00B65EB2" w:rsidRPr="00C9748A" w:rsidTr="005D37BA">
              <w:tc>
                <w:tcPr>
                  <w:tcW w:w="2410" w:type="dxa"/>
                </w:tcPr>
                <w:p w:rsidR="00B65EB2" w:rsidRDefault="00B65EB2" w:rsidP="009D0661">
                  <w:pPr>
                    <w:pStyle w:val="QRCBody"/>
                  </w:pPr>
                  <w:r>
                    <w:rPr>
                      <w:noProof/>
                    </w:rPr>
                    <w:drawing>
                      <wp:inline distT="0" distB="0" distL="0" distR="0" wp14:anchorId="1F901001" wp14:editId="64EF9F49">
                        <wp:extent cx="1580194" cy="319178"/>
                        <wp:effectExtent l="0" t="0" r="1270" b="508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094" cy="33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</w:tcPr>
                <w:p w:rsidR="00B65EB2" w:rsidRPr="00774350" w:rsidRDefault="00B65EB2" w:rsidP="00CC66FA">
                  <w:pPr>
                    <w:pStyle w:val="QRCBody"/>
                  </w:pPr>
                  <w:r>
                    <w:t>Training materials and ‘how to’ guides for the External Moderation application.</w:t>
                  </w:r>
                </w:p>
              </w:tc>
            </w:tr>
          </w:tbl>
          <w:p w:rsidR="00472BBD" w:rsidRPr="00553391" w:rsidRDefault="00472BBD" w:rsidP="00553391">
            <w:pPr>
              <w:pStyle w:val="QRCBody"/>
            </w:pPr>
          </w:p>
        </w:tc>
      </w:tr>
      <w:tr w:rsidR="000E6EF3" w:rsidTr="00DC37EB">
        <w:tc>
          <w:tcPr>
            <w:tcW w:w="10456" w:type="dxa"/>
          </w:tcPr>
          <w:p w:rsidR="000E6EF3" w:rsidRDefault="000E6EF3" w:rsidP="007E20DB">
            <w:pPr>
              <w:pStyle w:val="QRCBody"/>
            </w:pPr>
            <w:r>
              <w:rPr>
                <w:b/>
              </w:rPr>
              <w:t>Please n</w:t>
            </w:r>
            <w:r w:rsidRPr="003E01D8">
              <w:rPr>
                <w:b/>
              </w:rPr>
              <w:t>ote</w:t>
            </w:r>
            <w:r w:rsidRPr="003E01D8">
              <w:t xml:space="preserve">: </w:t>
            </w:r>
          </w:p>
          <w:p w:rsidR="000E6EF3" w:rsidRDefault="000E6EF3" w:rsidP="007E20DB">
            <w:pPr>
              <w:pStyle w:val="QRCBody"/>
            </w:pPr>
            <w:r>
              <w:t>The functionality available depends on the access role your organisation has granted you. Not all functions are available to all users. See the next section for a summary of access rights.</w:t>
            </w:r>
          </w:p>
        </w:tc>
      </w:tr>
    </w:tbl>
    <w:p w:rsidR="009D0661" w:rsidRDefault="009D0661" w:rsidP="002B0FB0">
      <w:pPr>
        <w:pStyle w:val="Heading1"/>
      </w:pPr>
      <w:bookmarkStart w:id="2" w:name="_User_Access"/>
      <w:bookmarkEnd w:id="2"/>
      <w:r>
        <w:br w:type="page"/>
      </w:r>
      <w:r w:rsidR="002B0FB0">
        <w:t>User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1697" w:rsidTr="00C61EBB">
        <w:tc>
          <w:tcPr>
            <w:tcW w:w="10456" w:type="dxa"/>
            <w:shd w:val="clear" w:color="auto" w:fill="9CC2E5" w:themeFill="accent1" w:themeFillTint="99"/>
          </w:tcPr>
          <w:p w:rsidR="00631697" w:rsidRDefault="000E6EF3" w:rsidP="00CD285A">
            <w:pPr>
              <w:pStyle w:val="QRCTableHeader"/>
            </w:pPr>
            <w:r>
              <w:t>Manage u</w:t>
            </w:r>
            <w:r w:rsidR="00E75463">
              <w:t xml:space="preserve">ser </w:t>
            </w:r>
            <w:r>
              <w:t>a</w:t>
            </w:r>
            <w:r w:rsidR="00E75463">
              <w:t>ccess</w:t>
            </w:r>
          </w:p>
        </w:tc>
      </w:tr>
      <w:tr w:rsidR="00631697" w:rsidTr="00CD285A">
        <w:tc>
          <w:tcPr>
            <w:tcW w:w="10456" w:type="dxa"/>
          </w:tcPr>
          <w:p w:rsidR="005847A5" w:rsidRPr="00376685" w:rsidRDefault="00631697" w:rsidP="00CD285A">
            <w:pPr>
              <w:pStyle w:val="QRCBody"/>
            </w:pPr>
            <w:r w:rsidRPr="00376685">
              <w:t>If you need to arrange access</w:t>
            </w:r>
            <w:r w:rsidR="00E75463">
              <w:t xml:space="preserve"> to the moderation application</w:t>
            </w:r>
            <w:r w:rsidRPr="00376685">
              <w:t xml:space="preserve"> for staff, </w:t>
            </w:r>
            <w:r w:rsidR="000E6EF3">
              <w:t>please</w:t>
            </w:r>
            <w:r w:rsidRPr="00376685">
              <w:t xml:space="preserve"> follow the normal </w:t>
            </w:r>
            <w:hyperlink r:id="rId16" w:history="1">
              <w:r w:rsidRPr="00376685">
                <w:rPr>
                  <w:rStyle w:val="Hyperlink"/>
                </w:rPr>
                <w:t>Ministry of Education procedure</w:t>
              </w:r>
            </w:hyperlink>
            <w:r w:rsidRPr="00376685">
              <w:t xml:space="preserve"> for access</w:t>
            </w:r>
            <w:r w:rsidR="000E6EF3">
              <w:t xml:space="preserve"> to NZQA systems</w:t>
            </w:r>
            <w:r w:rsidR="00E75463">
              <w:t>, via the Education Sector Logon (formerly ESAA)</w:t>
            </w:r>
            <w:r w:rsidRPr="00376685">
              <w:t xml:space="preserve">. </w:t>
            </w:r>
          </w:p>
          <w:p w:rsidR="00631697" w:rsidRPr="00376685" w:rsidRDefault="00E75463" w:rsidP="00CD285A">
            <w:pPr>
              <w:pStyle w:val="QRCBody"/>
            </w:pPr>
            <w:r>
              <w:t xml:space="preserve">An </w:t>
            </w:r>
            <w:r w:rsidR="00631697" w:rsidRPr="00376685">
              <w:t>email address</w:t>
            </w:r>
            <w:r>
              <w:t xml:space="preserve"> is mandatory</w:t>
            </w:r>
            <w:r w:rsidR="00631697" w:rsidRPr="00376685">
              <w:t xml:space="preserve"> </w:t>
            </w:r>
            <w:r>
              <w:t xml:space="preserve">and must be unique to the </w:t>
            </w:r>
            <w:r w:rsidR="005847A5" w:rsidRPr="00376685">
              <w:t xml:space="preserve">user </w:t>
            </w:r>
            <w:r w:rsidR="00147D23" w:rsidRPr="00376685">
              <w:t xml:space="preserve">(not shared by another person who will also login </w:t>
            </w:r>
            <w:r>
              <w:t>via ESL</w:t>
            </w:r>
            <w:r w:rsidR="000E6EF3">
              <w:t>)</w:t>
            </w:r>
            <w:r>
              <w:t>.</w:t>
            </w:r>
            <w:r w:rsidR="00147D23" w:rsidRPr="00376685">
              <w:t xml:space="preserve"> </w:t>
            </w:r>
            <w:r w:rsidR="00EF7C9F" w:rsidRPr="00376685">
              <w:t xml:space="preserve">This email </w:t>
            </w:r>
            <w:r w:rsidR="000E6EF3">
              <w:t>is</w:t>
            </w:r>
            <w:r w:rsidR="00EF7C9F" w:rsidRPr="00376685">
              <w:t xml:space="preserve"> used for verifying identity, not for sending notifications</w:t>
            </w:r>
            <w:r w:rsidR="00147D23" w:rsidRPr="00376685">
              <w:t>.</w:t>
            </w:r>
          </w:p>
          <w:p w:rsidR="00631697" w:rsidRDefault="000E6EF3" w:rsidP="00CD285A">
            <w:pPr>
              <w:pStyle w:val="QRCBody"/>
            </w:pPr>
            <w:r>
              <w:t>The following roles are available for users of the external moderation application:</w:t>
            </w:r>
          </w:p>
          <w:p w:rsidR="002B0FB0" w:rsidRPr="00376685" w:rsidRDefault="002B0FB0" w:rsidP="00CD285A">
            <w:pPr>
              <w:pStyle w:val="QRCBody"/>
            </w:pPr>
          </w:p>
          <w:tbl>
            <w:tblPr>
              <w:tblStyle w:val="TableGrid"/>
              <w:tblW w:w="10341" w:type="dxa"/>
              <w:tblInd w:w="24" w:type="dxa"/>
              <w:tblLook w:val="0420" w:firstRow="1" w:lastRow="0" w:firstColumn="0" w:lastColumn="0" w:noHBand="0" w:noVBand="1"/>
            </w:tblPr>
            <w:tblGrid>
              <w:gridCol w:w="2119"/>
              <w:gridCol w:w="2268"/>
              <w:gridCol w:w="5954"/>
            </w:tblGrid>
            <w:tr w:rsidR="006F0359" w:rsidRPr="00376685" w:rsidTr="00FC27D4">
              <w:tc>
                <w:tcPr>
                  <w:tcW w:w="2119" w:type="dxa"/>
                  <w:shd w:val="clear" w:color="auto" w:fill="9CC2E5" w:themeFill="accent1" w:themeFillTint="99"/>
                </w:tcPr>
                <w:p w:rsidR="006F0359" w:rsidRPr="00376685" w:rsidRDefault="006F0359" w:rsidP="00CD285A">
                  <w:pPr>
                    <w:pStyle w:val="QRCTableHeader"/>
                    <w:rPr>
                      <w:color w:val="000000" w:themeColor="text1"/>
                    </w:rPr>
                  </w:pPr>
                  <w:r w:rsidRPr="00376685">
                    <w:rPr>
                      <w:color w:val="000000" w:themeColor="text1"/>
                    </w:rPr>
                    <w:t>Secondary</w:t>
                  </w:r>
                  <w:r w:rsidR="00465D65" w:rsidRPr="0037668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465D65" w:rsidRPr="00376685">
                    <w:rPr>
                      <w:color w:val="000000" w:themeColor="text1"/>
                    </w:rPr>
                    <w:t>MoE</w:t>
                  </w:r>
                  <w:proofErr w:type="spellEnd"/>
                  <w:r w:rsidR="00465D65" w:rsidRPr="00376685">
                    <w:rPr>
                      <w:color w:val="000000" w:themeColor="text1"/>
                    </w:rPr>
                    <w:t xml:space="preserve"> role</w:t>
                  </w:r>
                </w:p>
              </w:tc>
              <w:tc>
                <w:tcPr>
                  <w:tcW w:w="2268" w:type="dxa"/>
                  <w:shd w:val="clear" w:color="auto" w:fill="9CC2E5" w:themeFill="accent1" w:themeFillTint="99"/>
                </w:tcPr>
                <w:p w:rsidR="006F0359" w:rsidRPr="00376685" w:rsidRDefault="006F0359" w:rsidP="00CD285A">
                  <w:pPr>
                    <w:pStyle w:val="QRCTableHeader"/>
                    <w:rPr>
                      <w:color w:val="000000" w:themeColor="text1"/>
                    </w:rPr>
                  </w:pPr>
                  <w:r w:rsidRPr="00376685">
                    <w:rPr>
                      <w:color w:val="000000" w:themeColor="text1"/>
                    </w:rPr>
                    <w:t>Tertiary</w:t>
                  </w:r>
                  <w:r w:rsidR="00465D65" w:rsidRPr="0037668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465D65" w:rsidRPr="00376685">
                    <w:rPr>
                      <w:color w:val="000000" w:themeColor="text1"/>
                    </w:rPr>
                    <w:t>MoE</w:t>
                  </w:r>
                  <w:proofErr w:type="spellEnd"/>
                  <w:r w:rsidR="00465D65" w:rsidRPr="00376685">
                    <w:rPr>
                      <w:color w:val="000000" w:themeColor="text1"/>
                    </w:rPr>
                    <w:t xml:space="preserve"> role</w:t>
                  </w:r>
                </w:p>
              </w:tc>
              <w:tc>
                <w:tcPr>
                  <w:tcW w:w="5954" w:type="dxa"/>
                  <w:shd w:val="clear" w:color="auto" w:fill="9CC2E5" w:themeFill="accent1" w:themeFillTint="99"/>
                </w:tcPr>
                <w:p w:rsidR="006F0359" w:rsidRPr="00376685" w:rsidRDefault="006F0359" w:rsidP="006F0359">
                  <w:pPr>
                    <w:pStyle w:val="QRCTableHeader"/>
                    <w:rPr>
                      <w:color w:val="000000" w:themeColor="text1"/>
                    </w:rPr>
                  </w:pPr>
                  <w:r w:rsidRPr="00376685">
                    <w:rPr>
                      <w:color w:val="000000" w:themeColor="text1"/>
                    </w:rPr>
                    <w:t xml:space="preserve">Type of access to the moderation </w:t>
                  </w:r>
                  <w:r w:rsidR="004B110E" w:rsidRPr="003E01D8">
                    <w:t>application</w:t>
                  </w:r>
                </w:p>
              </w:tc>
            </w:tr>
            <w:tr w:rsidR="006F0359" w:rsidRPr="00376685" w:rsidTr="00FC27D4">
              <w:tc>
                <w:tcPr>
                  <w:tcW w:w="2119" w:type="dxa"/>
                </w:tcPr>
                <w:p w:rsidR="006F0359" w:rsidRPr="006635EA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6635EA">
                    <w:rPr>
                      <w:lang w:eastAsia="en-NZ"/>
                    </w:rPr>
                    <w:t xml:space="preserve">General </w:t>
                  </w:r>
                  <w:r w:rsidR="004B110E" w:rsidRPr="006635EA">
                    <w:rPr>
                      <w:lang w:eastAsia="en-NZ"/>
                    </w:rPr>
                    <w:t>Security</w:t>
                  </w:r>
                  <w:r w:rsidRPr="006635EA">
                    <w:rPr>
                      <w:lang w:eastAsia="en-NZ"/>
                    </w:rPr>
                    <w:t xml:space="preserve"> User</w:t>
                  </w:r>
                </w:p>
              </w:tc>
              <w:tc>
                <w:tcPr>
                  <w:tcW w:w="2268" w:type="dxa"/>
                </w:tcPr>
                <w:p w:rsidR="006F0359" w:rsidRPr="00376685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376685">
                    <w:rPr>
                      <w:lang w:eastAsia="en-NZ"/>
                    </w:rPr>
                    <w:t>TEO View Only</w:t>
                  </w:r>
                </w:p>
              </w:tc>
              <w:tc>
                <w:tcPr>
                  <w:tcW w:w="5954" w:type="dxa"/>
                </w:tcPr>
                <w:p w:rsidR="00A81836" w:rsidRPr="002B0FB0" w:rsidRDefault="00EB7244" w:rsidP="002B0FB0">
                  <w:pPr>
                    <w:pStyle w:val="QRCBody"/>
                    <w:rPr>
                      <w:lang w:eastAsia="en-NZ"/>
                    </w:rPr>
                  </w:pPr>
                  <w:r w:rsidRPr="002B0FB0">
                    <w:rPr>
                      <w:lang w:eastAsia="en-NZ"/>
                    </w:rPr>
                    <w:t xml:space="preserve">Users have the role of </w:t>
                  </w:r>
                  <w:r w:rsidR="00A81836" w:rsidRPr="002B0FB0">
                    <w:rPr>
                      <w:lang w:eastAsia="en-NZ"/>
                    </w:rPr>
                    <w:t>‘</w:t>
                  </w:r>
                  <w:r w:rsidRPr="002B0FB0">
                    <w:rPr>
                      <w:lang w:eastAsia="en-NZ"/>
                    </w:rPr>
                    <w:t>Moderation Viewer</w:t>
                  </w:r>
                  <w:r w:rsidR="00A81836" w:rsidRPr="002B0FB0">
                    <w:rPr>
                      <w:lang w:eastAsia="en-NZ"/>
                    </w:rPr>
                    <w:t>’</w:t>
                  </w:r>
                  <w:r w:rsidRPr="002B0FB0">
                    <w:rPr>
                      <w:lang w:eastAsia="en-NZ"/>
                    </w:rPr>
                    <w:t xml:space="preserve">, and </w:t>
                  </w:r>
                  <w:r w:rsidR="006F0359" w:rsidRPr="002B0FB0">
                    <w:rPr>
                      <w:lang w:eastAsia="en-NZ"/>
                    </w:rPr>
                    <w:t>can</w:t>
                  </w:r>
                  <w:r w:rsidR="00A81836" w:rsidRPr="002B0FB0">
                    <w:rPr>
                      <w:lang w:eastAsia="en-NZ"/>
                    </w:rPr>
                    <w:t>:</w:t>
                  </w:r>
                </w:p>
                <w:p w:rsidR="00A81836" w:rsidRPr="002B0FB0" w:rsidRDefault="00A81836" w:rsidP="002B0FB0">
                  <w:pPr>
                    <w:pStyle w:val="TableBullet"/>
                    <w:numPr>
                      <w:ilvl w:val="0"/>
                      <w:numId w:val="22"/>
                    </w:numPr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view the moderation plan, </w:t>
                  </w:r>
                </w:p>
                <w:p w:rsidR="00A87473" w:rsidRPr="002B0FB0" w:rsidRDefault="006F0359" w:rsidP="002B0FB0">
                  <w:pPr>
                    <w:pStyle w:val="TableBullet"/>
                    <w:numPr>
                      <w:ilvl w:val="0"/>
                      <w:numId w:val="22"/>
                    </w:numPr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view moderation reports and results.</w:t>
                  </w:r>
                </w:p>
              </w:tc>
            </w:tr>
            <w:tr w:rsidR="006F0359" w:rsidRPr="00376685" w:rsidTr="00FC27D4">
              <w:tc>
                <w:tcPr>
                  <w:tcW w:w="2119" w:type="dxa"/>
                </w:tcPr>
                <w:p w:rsidR="006F0359" w:rsidRPr="006635EA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6635EA">
                    <w:rPr>
                      <w:lang w:eastAsia="en-NZ"/>
                    </w:rPr>
                    <w:t>Moderation Process</w:t>
                  </w:r>
                </w:p>
              </w:tc>
              <w:tc>
                <w:tcPr>
                  <w:tcW w:w="2268" w:type="dxa"/>
                </w:tcPr>
                <w:p w:rsidR="006F0359" w:rsidRPr="00376685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376685">
                    <w:rPr>
                      <w:lang w:eastAsia="en-NZ"/>
                    </w:rPr>
                    <w:t>TEO Administration</w:t>
                  </w:r>
                </w:p>
              </w:tc>
              <w:tc>
                <w:tcPr>
                  <w:tcW w:w="5954" w:type="dxa"/>
                </w:tcPr>
                <w:p w:rsidR="006F0359" w:rsidRPr="002B0FB0" w:rsidRDefault="006F0359" w:rsidP="002B0FB0">
                  <w:pPr>
                    <w:pStyle w:val="QRCBody"/>
                    <w:rPr>
                      <w:lang w:eastAsia="en-NZ"/>
                    </w:rPr>
                  </w:pPr>
                  <w:r w:rsidRPr="002B0FB0">
                    <w:rPr>
                      <w:lang w:eastAsia="en-NZ"/>
                    </w:rPr>
                    <w:t xml:space="preserve">Users </w:t>
                  </w:r>
                  <w:r w:rsidR="00EB7244" w:rsidRPr="002B0FB0">
                    <w:rPr>
                      <w:lang w:eastAsia="en-NZ"/>
                    </w:rPr>
                    <w:t xml:space="preserve">have the role of </w:t>
                  </w:r>
                  <w:r w:rsidR="00A81836" w:rsidRPr="002B0FB0">
                    <w:rPr>
                      <w:lang w:eastAsia="en-NZ"/>
                    </w:rPr>
                    <w:t>‘</w:t>
                  </w:r>
                  <w:r w:rsidR="00EB7244" w:rsidRPr="002B0FB0">
                    <w:rPr>
                      <w:lang w:eastAsia="en-NZ"/>
                    </w:rPr>
                    <w:t>Moderation Processor</w:t>
                  </w:r>
                  <w:r w:rsidR="00A81836" w:rsidRPr="002B0FB0">
                    <w:rPr>
                      <w:lang w:eastAsia="en-NZ"/>
                    </w:rPr>
                    <w:t>’</w:t>
                  </w:r>
                  <w:r w:rsidR="00EB7244" w:rsidRPr="002B0FB0">
                    <w:rPr>
                      <w:lang w:eastAsia="en-NZ"/>
                    </w:rPr>
                    <w:t xml:space="preserve">, and </w:t>
                  </w:r>
                  <w:r w:rsidRPr="002B0FB0">
                    <w:rPr>
                      <w:lang w:eastAsia="en-NZ"/>
                    </w:rPr>
                    <w:t>can:</w:t>
                  </w:r>
                </w:p>
                <w:p w:rsidR="006F0359" w:rsidRPr="002B0FB0" w:rsidRDefault="006F0359" w:rsidP="002B0FB0">
                  <w:pPr>
                    <w:pStyle w:val="TableBullet"/>
                    <w:numPr>
                      <w:ilvl w:val="0"/>
                      <w:numId w:val="22"/>
                    </w:numPr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enter assessment judgements/grades </w:t>
                  </w:r>
                </w:p>
                <w:p w:rsidR="006F0359" w:rsidRPr="002B0FB0" w:rsidRDefault="006F0359" w:rsidP="002B0FB0">
                  <w:pPr>
                    <w:pStyle w:val="TableBullet"/>
                    <w:numPr>
                      <w:ilvl w:val="0"/>
                      <w:numId w:val="22"/>
                    </w:numPr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upload material</w:t>
                  </w:r>
                  <w:r w:rsidR="00A87473" w:rsidRPr="002B0FB0">
                    <w:rPr>
                      <w:sz w:val="22"/>
                      <w:lang w:eastAsia="en-NZ"/>
                    </w:rPr>
                    <w:t xml:space="preserve"> for moderation</w:t>
                  </w:r>
                </w:p>
                <w:p w:rsidR="00376685" w:rsidRPr="002B0FB0" w:rsidRDefault="00376685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view moderation reports and results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submit queries about moderation reports.</w:t>
                  </w:r>
                </w:p>
              </w:tc>
            </w:tr>
            <w:tr w:rsidR="006F0359" w:rsidRPr="00376685" w:rsidTr="00FC27D4">
              <w:tc>
                <w:tcPr>
                  <w:tcW w:w="2119" w:type="dxa"/>
                </w:tcPr>
                <w:p w:rsidR="006F0359" w:rsidRPr="006635EA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6635EA">
                    <w:rPr>
                      <w:lang w:eastAsia="en-NZ"/>
                    </w:rPr>
                    <w:t>High Security User</w:t>
                  </w:r>
                </w:p>
              </w:tc>
              <w:tc>
                <w:tcPr>
                  <w:tcW w:w="2268" w:type="dxa"/>
                </w:tcPr>
                <w:p w:rsidR="006F0359" w:rsidRPr="00376685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376685">
                    <w:rPr>
                      <w:lang w:eastAsia="en-NZ"/>
                    </w:rPr>
                    <w:t>TEO Management Authoriser</w:t>
                  </w:r>
                </w:p>
              </w:tc>
              <w:tc>
                <w:tcPr>
                  <w:tcW w:w="5954" w:type="dxa"/>
                </w:tcPr>
                <w:p w:rsidR="006F0359" w:rsidRPr="002B0FB0" w:rsidRDefault="00EB7244" w:rsidP="002B0FB0">
                  <w:pPr>
                    <w:pStyle w:val="QRCBody"/>
                    <w:rPr>
                      <w:lang w:eastAsia="en-NZ"/>
                    </w:rPr>
                  </w:pPr>
                  <w:r w:rsidRPr="002B0FB0">
                    <w:rPr>
                      <w:lang w:eastAsia="en-NZ"/>
                    </w:rPr>
                    <w:t xml:space="preserve">Users have the role of </w:t>
                  </w:r>
                  <w:r w:rsidR="00A81836" w:rsidRPr="002B0FB0">
                    <w:rPr>
                      <w:lang w:eastAsia="en-NZ"/>
                    </w:rPr>
                    <w:t>‘</w:t>
                  </w:r>
                  <w:r w:rsidRPr="002B0FB0">
                    <w:rPr>
                      <w:lang w:eastAsia="en-NZ"/>
                    </w:rPr>
                    <w:t>Moderation Authoriser</w:t>
                  </w:r>
                  <w:r w:rsidR="00A81836" w:rsidRPr="002B0FB0">
                    <w:rPr>
                      <w:lang w:eastAsia="en-NZ"/>
                    </w:rPr>
                    <w:t>’</w:t>
                  </w:r>
                  <w:r w:rsidRPr="002B0FB0">
                    <w:rPr>
                      <w:lang w:eastAsia="en-NZ"/>
                    </w:rPr>
                    <w:t xml:space="preserve">, and </w:t>
                  </w:r>
                  <w:r w:rsidR="006F0359" w:rsidRPr="002B0FB0">
                    <w:rPr>
                      <w:lang w:eastAsia="en-NZ"/>
                    </w:rPr>
                    <w:t>can:</w:t>
                  </w:r>
                </w:p>
                <w:p w:rsidR="0034540D" w:rsidRPr="002B0FB0" w:rsidRDefault="00376685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select standards and </w:t>
                  </w:r>
                  <w:r w:rsidR="0034540D" w:rsidRPr="002B0FB0">
                    <w:rPr>
                      <w:sz w:val="22"/>
                      <w:lang w:eastAsia="en-NZ"/>
                    </w:rPr>
                    <w:t xml:space="preserve">submit assessment plans </w:t>
                  </w:r>
                </w:p>
                <w:p w:rsidR="00376685" w:rsidRPr="002B0FB0" w:rsidRDefault="00376685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view moderation plans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enter assessment judgements/grades 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upload </w:t>
                  </w:r>
                  <w:r w:rsidR="00A87473" w:rsidRPr="002B0FB0">
                    <w:rPr>
                      <w:sz w:val="22"/>
                      <w:lang w:eastAsia="en-NZ"/>
                    </w:rPr>
                    <w:t>material for moderation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authorise moderation submissions</w:t>
                  </w:r>
                </w:p>
                <w:p w:rsidR="00376685" w:rsidRPr="002B0FB0" w:rsidRDefault="00376685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view moderation reports and results </w:t>
                  </w:r>
                </w:p>
                <w:p w:rsidR="00376685" w:rsidRPr="002B0FB0" w:rsidRDefault="00376685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submit queries about moderation reports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lodge appeals</w:t>
                  </w:r>
                </w:p>
                <w:p w:rsidR="00A81836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view annual summaries and manage action plans.</w:t>
                  </w:r>
                </w:p>
              </w:tc>
            </w:tr>
            <w:tr w:rsidR="006F0359" w:rsidRPr="009D0661" w:rsidTr="00FC27D4">
              <w:tc>
                <w:tcPr>
                  <w:tcW w:w="2119" w:type="dxa"/>
                </w:tcPr>
                <w:p w:rsidR="006F0359" w:rsidRPr="006635EA" w:rsidRDefault="00456B14" w:rsidP="006F0359">
                  <w:pPr>
                    <w:pStyle w:val="QRCBody"/>
                    <w:rPr>
                      <w:lang w:eastAsia="en-NZ"/>
                    </w:rPr>
                  </w:pPr>
                  <w:r w:rsidRPr="006635EA">
                    <w:rPr>
                      <w:lang w:eastAsia="en-NZ"/>
                    </w:rPr>
                    <w:t>Moderation Management View Only</w:t>
                  </w:r>
                </w:p>
              </w:tc>
              <w:tc>
                <w:tcPr>
                  <w:tcW w:w="2268" w:type="dxa"/>
                </w:tcPr>
                <w:p w:rsidR="006F0359" w:rsidRPr="00376685" w:rsidRDefault="006F0359" w:rsidP="006F0359">
                  <w:pPr>
                    <w:pStyle w:val="QRCBody"/>
                    <w:rPr>
                      <w:lang w:eastAsia="en-NZ"/>
                    </w:rPr>
                  </w:pPr>
                  <w:r w:rsidRPr="00376685">
                    <w:rPr>
                      <w:lang w:eastAsia="en-NZ"/>
                    </w:rPr>
                    <w:t>TEO Management View Only</w:t>
                  </w:r>
                </w:p>
              </w:tc>
              <w:tc>
                <w:tcPr>
                  <w:tcW w:w="5954" w:type="dxa"/>
                </w:tcPr>
                <w:p w:rsidR="006F0359" w:rsidRPr="002B0FB0" w:rsidRDefault="00EB7244" w:rsidP="002B0FB0">
                  <w:pPr>
                    <w:pStyle w:val="QRCBody"/>
                    <w:rPr>
                      <w:lang w:eastAsia="en-NZ"/>
                    </w:rPr>
                  </w:pPr>
                  <w:r w:rsidRPr="002B0FB0">
                    <w:rPr>
                      <w:lang w:eastAsia="en-NZ"/>
                    </w:rPr>
                    <w:t xml:space="preserve">Users have the role of </w:t>
                  </w:r>
                  <w:r w:rsidR="00E75463" w:rsidRPr="002B0FB0">
                    <w:rPr>
                      <w:lang w:eastAsia="en-NZ"/>
                    </w:rPr>
                    <w:t>‘</w:t>
                  </w:r>
                  <w:r w:rsidRPr="002B0FB0">
                    <w:rPr>
                      <w:lang w:eastAsia="en-NZ"/>
                    </w:rPr>
                    <w:t>Moderation Management Viewer</w:t>
                  </w:r>
                  <w:r w:rsidR="00E75463" w:rsidRPr="002B0FB0">
                    <w:rPr>
                      <w:lang w:eastAsia="en-NZ"/>
                    </w:rPr>
                    <w:t>’</w:t>
                  </w:r>
                  <w:r w:rsidRPr="002B0FB0">
                    <w:rPr>
                      <w:lang w:eastAsia="en-NZ"/>
                    </w:rPr>
                    <w:t xml:space="preserve">, </w:t>
                  </w:r>
                  <w:r w:rsidR="00F07A25" w:rsidRPr="002B0FB0">
                    <w:rPr>
                      <w:lang w:eastAsia="en-NZ"/>
                    </w:rPr>
                    <w:t xml:space="preserve">and </w:t>
                  </w:r>
                  <w:r w:rsidR="006F0359" w:rsidRPr="002B0FB0">
                    <w:rPr>
                      <w:lang w:eastAsia="en-NZ"/>
                    </w:rPr>
                    <w:t>can: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 xml:space="preserve">view </w:t>
                  </w:r>
                  <w:r w:rsidR="008113C9" w:rsidRPr="002B0FB0">
                    <w:rPr>
                      <w:sz w:val="22"/>
                      <w:lang w:eastAsia="en-NZ"/>
                    </w:rPr>
                    <w:t>moderation reports and results</w:t>
                  </w:r>
                </w:p>
                <w:p w:rsidR="006F0359" w:rsidRPr="002B0FB0" w:rsidRDefault="006F0359" w:rsidP="002B0FB0">
                  <w:pPr>
                    <w:pStyle w:val="TableBullet"/>
                    <w:spacing w:before="120" w:after="120"/>
                    <w:rPr>
                      <w:sz w:val="22"/>
                      <w:lang w:eastAsia="en-NZ"/>
                    </w:rPr>
                  </w:pPr>
                  <w:r w:rsidRPr="002B0FB0">
                    <w:rPr>
                      <w:sz w:val="22"/>
                      <w:lang w:eastAsia="en-NZ"/>
                    </w:rPr>
                    <w:t>view annual summaries and action plans</w:t>
                  </w:r>
                  <w:r w:rsidR="008113C9" w:rsidRPr="002B0FB0">
                    <w:rPr>
                      <w:sz w:val="22"/>
                      <w:lang w:eastAsia="en-NZ"/>
                    </w:rPr>
                    <w:t>.</w:t>
                  </w:r>
                </w:p>
              </w:tc>
            </w:tr>
          </w:tbl>
          <w:p w:rsidR="00A81836" w:rsidRDefault="000E6EF3" w:rsidP="001A6563">
            <w:pPr>
              <w:pStyle w:val="QRCBody"/>
            </w:pPr>
            <w:r w:rsidRPr="00E75463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3729810</wp:posOffset>
                  </wp:positionH>
                  <wp:positionV relativeFrom="paragraph">
                    <wp:posOffset>202661</wp:posOffset>
                  </wp:positionV>
                  <wp:extent cx="2700502" cy="3001992"/>
                  <wp:effectExtent l="114300" t="114300" r="138430" b="1416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61" cy="30073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6EF3" w:rsidRDefault="00E75463" w:rsidP="001A6563">
            <w:pPr>
              <w:pStyle w:val="QRCBody"/>
              <w:rPr>
                <w:noProof/>
              </w:rPr>
            </w:pPr>
            <w:r w:rsidRPr="00E75463">
              <w:rPr>
                <w:b/>
                <w:noProof/>
              </w:rPr>
              <w:t>For TEOs:</w:t>
            </w:r>
            <w:r>
              <w:rPr>
                <w:noProof/>
              </w:rPr>
              <w:t xml:space="preserve"> </w:t>
            </w:r>
          </w:p>
          <w:p w:rsidR="00490F6E" w:rsidRPr="006061EE" w:rsidRDefault="000E6EF3" w:rsidP="001A6563">
            <w:pPr>
              <w:pStyle w:val="QRCBody"/>
            </w:pPr>
            <w:r>
              <w:rPr>
                <w:noProof/>
              </w:rPr>
              <w:t>T</w:t>
            </w:r>
            <w:r w:rsidR="00E75463">
              <w:rPr>
                <w:noProof/>
              </w:rPr>
              <w:t>he access required is on the f</w:t>
            </w:r>
            <w:r>
              <w:rPr>
                <w:noProof/>
              </w:rPr>
              <w:t>ollowing sec</w:t>
            </w:r>
            <w:r w:rsidR="00E75463">
              <w:rPr>
                <w:noProof/>
              </w:rPr>
              <w:t>t</w:t>
            </w:r>
            <w:r>
              <w:rPr>
                <w:noProof/>
              </w:rPr>
              <w:t>i</w:t>
            </w:r>
            <w:r w:rsidR="00E75463">
              <w:rPr>
                <w:noProof/>
              </w:rPr>
              <w:t>on o</w:t>
            </w:r>
            <w:r>
              <w:rPr>
                <w:noProof/>
              </w:rPr>
              <w:t>f</w:t>
            </w:r>
            <w:r w:rsidR="00E75463">
              <w:rPr>
                <w:noProof/>
              </w:rPr>
              <w:t xml:space="preserve"> the E</w:t>
            </w:r>
            <w:r>
              <w:rPr>
                <w:noProof/>
              </w:rPr>
              <w:t>SL</w:t>
            </w:r>
            <w:r w:rsidR="00E75463">
              <w:rPr>
                <w:noProof/>
              </w:rPr>
              <w:t xml:space="preserve"> form: </w:t>
            </w:r>
          </w:p>
        </w:tc>
      </w:tr>
    </w:tbl>
    <w:p w:rsidR="002B0FB0" w:rsidRDefault="002B0FB0"/>
    <w:p w:rsidR="002B0FB0" w:rsidRDefault="002B0FB0" w:rsidP="002B0FB0">
      <w:pPr>
        <w:pStyle w:val="Heading1"/>
      </w:pPr>
      <w:bookmarkStart w:id="3" w:name="_Manage_Notifications"/>
      <w:bookmarkEnd w:id="3"/>
      <w:r>
        <w:t>Manage Notifications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7C9F" w:rsidRPr="00E75463" w:rsidTr="00C61EBB">
        <w:tc>
          <w:tcPr>
            <w:tcW w:w="10456" w:type="dxa"/>
            <w:shd w:val="clear" w:color="auto" w:fill="9CC2E5" w:themeFill="accent1" w:themeFillTint="99"/>
          </w:tcPr>
          <w:p w:rsidR="00EF7C9F" w:rsidRPr="00E75463" w:rsidRDefault="000E6EF3" w:rsidP="00EF7C9F">
            <w:pPr>
              <w:pStyle w:val="QRCTableHeader"/>
            </w:pPr>
            <w:r>
              <w:t>Manage n</w:t>
            </w:r>
            <w:r w:rsidR="00E75463" w:rsidRPr="00E75463">
              <w:t>otifications</w:t>
            </w:r>
          </w:p>
        </w:tc>
      </w:tr>
      <w:tr w:rsidR="00EF7C9F" w:rsidTr="00860CF5">
        <w:tc>
          <w:tcPr>
            <w:tcW w:w="10456" w:type="dxa"/>
          </w:tcPr>
          <w:p w:rsidR="00E75463" w:rsidRDefault="00E75463" w:rsidP="00E75463">
            <w:pPr>
              <w:pStyle w:val="QRCBody"/>
            </w:pPr>
            <w:r>
              <w:t>Regardless of the security role assigned above, only the person recorded with NZQA as the moderation contact, i.e.:</w:t>
            </w:r>
          </w:p>
          <w:p w:rsidR="00E75463" w:rsidRDefault="00E75463" w:rsidP="00E75463">
            <w:pPr>
              <w:pStyle w:val="QRCBody"/>
              <w:numPr>
                <w:ilvl w:val="0"/>
                <w:numId w:val="26"/>
              </w:numPr>
            </w:pPr>
            <w:r>
              <w:t>Schools: Principal’s Nominee</w:t>
            </w:r>
          </w:p>
          <w:p w:rsidR="00E75463" w:rsidRDefault="00E75463" w:rsidP="00E75463">
            <w:pPr>
              <w:pStyle w:val="QRCBody"/>
              <w:numPr>
                <w:ilvl w:val="0"/>
                <w:numId w:val="26"/>
              </w:numPr>
            </w:pPr>
            <w:r>
              <w:t>TEOs: Moderation Liaison</w:t>
            </w:r>
          </w:p>
          <w:p w:rsidR="00E75463" w:rsidRDefault="00E75463" w:rsidP="00E75463">
            <w:pPr>
              <w:pStyle w:val="QRCBody"/>
            </w:pPr>
            <w:r>
              <w:t xml:space="preserve"> will receive notifications from the external moderation application. Notifications will be sent to the email address held by NZQA for the moderation contact.</w:t>
            </w:r>
          </w:p>
          <w:p w:rsidR="00EF7C9F" w:rsidRPr="003E01D8" w:rsidRDefault="00EF7C9F" w:rsidP="00EF7C9F">
            <w:pPr>
              <w:pStyle w:val="QRCBody"/>
            </w:pPr>
            <w:r w:rsidRPr="003E01D8">
              <w:t xml:space="preserve">The </w:t>
            </w:r>
            <w:r w:rsidR="004B110E" w:rsidRPr="003E01D8">
              <w:t xml:space="preserve">application </w:t>
            </w:r>
            <w:r w:rsidR="00847093" w:rsidRPr="003E01D8">
              <w:t>will</w:t>
            </w:r>
            <w:r w:rsidRPr="003E01D8">
              <w:t xml:space="preserve"> notify you of </w:t>
            </w:r>
            <w:r w:rsidR="00847093" w:rsidRPr="003E01D8">
              <w:t xml:space="preserve">outcomes or </w:t>
            </w:r>
            <w:r w:rsidR="000F0D32" w:rsidRPr="003E01D8">
              <w:t xml:space="preserve">of </w:t>
            </w:r>
            <w:r w:rsidR="00847093" w:rsidRPr="003E01D8">
              <w:t>tasks you need to complete. For example, you might receive an email</w:t>
            </w:r>
            <w:r w:rsidRPr="003E01D8">
              <w:t xml:space="preserve"> when your assessment plan is ready for you to review, </w:t>
            </w:r>
            <w:r w:rsidR="00847093" w:rsidRPr="003E01D8">
              <w:t xml:space="preserve">or an email reminding you to submit materials for </w:t>
            </w:r>
            <w:r w:rsidR="00477904" w:rsidRPr="003E01D8">
              <w:t>moderation</w:t>
            </w:r>
            <w:r w:rsidR="00847093" w:rsidRPr="003E01D8">
              <w:t>.</w:t>
            </w:r>
          </w:p>
          <w:p w:rsidR="00847093" w:rsidRPr="003E01D8" w:rsidRDefault="00EF7C9F" w:rsidP="002253B2">
            <w:pPr>
              <w:pStyle w:val="QRCBody"/>
            </w:pPr>
            <w:r w:rsidRPr="003E01D8">
              <w:t xml:space="preserve">If </w:t>
            </w:r>
            <w:r w:rsidR="00974EDF" w:rsidRPr="003E01D8">
              <w:t>you want us to</w:t>
            </w:r>
            <w:r w:rsidR="00847093" w:rsidRPr="003E01D8">
              <w:t xml:space="preserve"> send the notification</w:t>
            </w:r>
            <w:r w:rsidR="007738DE" w:rsidRPr="003E01D8">
              <w:t>s</w:t>
            </w:r>
            <w:r w:rsidR="00974EDF" w:rsidRPr="003E01D8">
              <w:t xml:space="preserve"> to a different email address</w:t>
            </w:r>
            <w:r w:rsidR="00847093" w:rsidRPr="003E01D8">
              <w:t xml:space="preserve">, you’ll need to update your </w:t>
            </w:r>
            <w:r w:rsidR="007738DE" w:rsidRPr="003E01D8">
              <w:rPr>
                <w:b/>
              </w:rPr>
              <w:t>preferred email address</w:t>
            </w:r>
            <w:r w:rsidR="00847093" w:rsidRPr="003E01D8">
              <w:t xml:space="preserve"> in </w:t>
            </w:r>
            <w:r w:rsidR="007738DE" w:rsidRPr="003E01D8">
              <w:t>NZQA’s</w:t>
            </w:r>
            <w:r w:rsidR="00847093" w:rsidRPr="003E01D8">
              <w:t xml:space="preserve"> secure </w:t>
            </w:r>
            <w:r w:rsidR="007738DE" w:rsidRPr="003E01D8">
              <w:t xml:space="preserve">provider </w:t>
            </w:r>
            <w:r w:rsidR="00847093" w:rsidRPr="003E01D8">
              <w:t>extranet</w:t>
            </w:r>
            <w:r w:rsidR="00421282">
              <w:t xml:space="preserve"> (Provider Login)</w:t>
            </w:r>
            <w:r w:rsidR="007738DE" w:rsidRPr="003E01D8">
              <w:t>.</w:t>
            </w:r>
          </w:p>
          <w:p w:rsidR="00EF7C9F" w:rsidRDefault="00EF7C9F" w:rsidP="007C2D5C">
            <w:pPr>
              <w:pStyle w:val="QRCBody"/>
            </w:pPr>
            <w:r w:rsidRPr="003E01D8">
              <w:t xml:space="preserve">This information </w:t>
            </w:r>
            <w:r w:rsidR="007C2D5C" w:rsidRPr="003E01D8">
              <w:t>may</w:t>
            </w:r>
            <w:r w:rsidRPr="003E01D8">
              <w:t xml:space="preserve"> take </w:t>
            </w:r>
            <w:r w:rsidR="007C2D5C" w:rsidRPr="003E01D8">
              <w:t>up to 48 hours</w:t>
            </w:r>
            <w:r w:rsidRPr="003E01D8">
              <w:t xml:space="preserve"> to update the </w:t>
            </w:r>
            <w:r w:rsidR="004B110E" w:rsidRPr="003E01D8">
              <w:t>application</w:t>
            </w:r>
            <w:r w:rsidRPr="003E01D8">
              <w:t>.</w:t>
            </w:r>
          </w:p>
        </w:tc>
      </w:tr>
    </w:tbl>
    <w:p w:rsidR="008B2FE3" w:rsidRDefault="008B2FE3" w:rsidP="002467C5">
      <w:pPr>
        <w:tabs>
          <w:tab w:val="left" w:pos="1209"/>
        </w:tabs>
      </w:pPr>
    </w:p>
    <w:p w:rsidR="002B0FB0" w:rsidRDefault="002B0FB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2F78EC" w:rsidRDefault="002F78EC" w:rsidP="002F78EC">
      <w:pPr>
        <w:pStyle w:val="Heading1"/>
      </w:pPr>
      <w:bookmarkStart w:id="4" w:name="_Related_Guides"/>
      <w:bookmarkEnd w:id="4"/>
      <w:r>
        <w:t>Related Guides</w:t>
      </w:r>
    </w:p>
    <w:p w:rsidR="002F78EC" w:rsidRDefault="002F78EC" w:rsidP="002F78EC">
      <w:r w:rsidRPr="00040EE9">
        <w:t>The following guides provide further information on using the external moderation application:</w:t>
      </w:r>
    </w:p>
    <w:tbl>
      <w:tblPr>
        <w:tblStyle w:val="TableGrid"/>
        <w:tblW w:w="10490" w:type="dxa"/>
        <w:tblInd w:w="-5" w:type="dxa"/>
        <w:tblLook w:val="0420" w:firstRow="1" w:lastRow="0" w:firstColumn="0" w:lastColumn="0" w:noHBand="0" w:noVBand="1"/>
      </w:tblPr>
      <w:tblGrid>
        <w:gridCol w:w="3544"/>
        <w:gridCol w:w="6946"/>
      </w:tblGrid>
      <w:tr w:rsidR="002F78EC" w:rsidRPr="00040EE9" w:rsidTr="009749FF">
        <w:tc>
          <w:tcPr>
            <w:tcW w:w="3544" w:type="dxa"/>
            <w:shd w:val="clear" w:color="auto" w:fill="9CC2E5" w:themeFill="accent1" w:themeFillTint="99"/>
          </w:tcPr>
          <w:p w:rsidR="002F78EC" w:rsidRPr="00A66F48" w:rsidRDefault="002F78EC" w:rsidP="009749FF">
            <w:pPr>
              <w:pStyle w:val="QRCBody"/>
              <w:rPr>
                <w:b/>
              </w:rPr>
            </w:pPr>
            <w:r w:rsidRPr="00A66F48">
              <w:rPr>
                <w:b/>
              </w:rPr>
              <w:t>Guide</w:t>
            </w:r>
          </w:p>
        </w:tc>
        <w:tc>
          <w:tcPr>
            <w:tcW w:w="6946" w:type="dxa"/>
            <w:shd w:val="clear" w:color="auto" w:fill="9CC2E5" w:themeFill="accent1" w:themeFillTint="99"/>
          </w:tcPr>
          <w:p w:rsidR="002F78EC" w:rsidRPr="00040EE9" w:rsidRDefault="002F78EC" w:rsidP="009749FF">
            <w:pPr>
              <w:pStyle w:val="QRCBody"/>
              <w:rPr>
                <w:b/>
                <w:color w:val="30383A"/>
              </w:rPr>
            </w:pPr>
            <w:r>
              <w:rPr>
                <w:b/>
                <w:color w:val="30383A"/>
              </w:rPr>
              <w:t>For how to: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</w:pPr>
            <w:r w:rsidRPr="00040EE9">
              <w:rPr>
                <w:i/>
              </w:rPr>
              <w:t>Access the External Moderation Application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 w:rsidRPr="00040EE9">
              <w:t>Access and navigate the application</w:t>
            </w:r>
            <w:r>
              <w:t>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 xml:space="preserve">Submit </w:t>
            </w:r>
            <w:r>
              <w:rPr>
                <w:i/>
              </w:rPr>
              <w:t xml:space="preserve">an </w:t>
            </w:r>
            <w:r w:rsidRPr="00040EE9">
              <w:rPr>
                <w:i/>
              </w:rPr>
              <w:t>Assessment Plan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>
              <w:t>Select standards and s</w:t>
            </w:r>
            <w:r w:rsidRPr="00040EE9">
              <w:t>ubmit an assessment plan</w:t>
            </w:r>
            <w:r>
              <w:t>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1A25E7" w:rsidP="009749FF">
            <w:pPr>
              <w:pStyle w:val="QRCBody"/>
              <w:rPr>
                <w:i/>
              </w:rPr>
            </w:pPr>
            <w:r>
              <w:rPr>
                <w:i/>
              </w:rPr>
              <w:t xml:space="preserve">View, </w:t>
            </w:r>
            <w:r w:rsidR="002F78EC" w:rsidRPr="00040EE9">
              <w:rPr>
                <w:i/>
              </w:rPr>
              <w:t xml:space="preserve">Print </w:t>
            </w:r>
            <w:r>
              <w:rPr>
                <w:i/>
              </w:rPr>
              <w:t>&amp; Customise</w:t>
            </w:r>
            <w:r w:rsidR="00B002E4">
              <w:rPr>
                <w:i/>
              </w:rPr>
              <w:t xml:space="preserve"> Moderation</w:t>
            </w:r>
            <w:r>
              <w:rPr>
                <w:i/>
              </w:rPr>
              <w:t xml:space="preserve"> Plan </w:t>
            </w:r>
            <w:r w:rsidR="00B002E4">
              <w:rPr>
                <w:i/>
              </w:rPr>
              <w:t>or History Views</w:t>
            </w:r>
          </w:p>
        </w:tc>
        <w:tc>
          <w:tcPr>
            <w:tcW w:w="6946" w:type="dxa"/>
          </w:tcPr>
          <w:p w:rsidR="002F78EC" w:rsidRPr="00040EE9" w:rsidRDefault="00B002E4" w:rsidP="009749FF">
            <w:pPr>
              <w:pStyle w:val="QRCBody"/>
            </w:pPr>
            <w:r>
              <w:t>View, customise or print/export assessment plan, moderation plan or moderation history views.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Submit Material for Moderation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>
              <w:t xml:space="preserve">Create </w:t>
            </w:r>
            <w:r w:rsidRPr="00040EE9">
              <w:t>a moderation submission</w:t>
            </w:r>
            <w:r>
              <w:t xml:space="preserve"> and submit to NZQA.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Digital Submission</w:t>
            </w:r>
            <w:r>
              <w:rPr>
                <w:i/>
              </w:rPr>
              <w:t xml:space="preserve"> Tips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>
              <w:t xml:space="preserve">Additional tips relating to </w:t>
            </w:r>
            <w:r w:rsidRPr="00040EE9">
              <w:t xml:space="preserve">digital </w:t>
            </w:r>
            <w:r>
              <w:t xml:space="preserve">submissions including, submitting </w:t>
            </w:r>
            <w:r w:rsidRPr="00040EE9">
              <w:t>cloud-</w:t>
            </w:r>
            <w:r>
              <w:t>based</w:t>
            </w:r>
            <w:r w:rsidRPr="00040EE9">
              <w:t xml:space="preserve"> files, video files, file types</w:t>
            </w:r>
            <w:r>
              <w:t xml:space="preserve"> accepted</w:t>
            </w:r>
            <w:r w:rsidRPr="00040EE9">
              <w:t xml:space="preserve"> and size limits</w:t>
            </w:r>
            <w:r>
              <w:t>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View and Query a Moderation Report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 w:rsidRPr="00040EE9">
              <w:t>View</w:t>
            </w:r>
            <w:r>
              <w:t xml:space="preserve"> or print </w:t>
            </w:r>
            <w:r w:rsidRPr="00040EE9">
              <w:t>a moderation report</w:t>
            </w:r>
            <w:r>
              <w:t>. S</w:t>
            </w:r>
            <w:r w:rsidRPr="00040EE9">
              <w:t>ubmit a query</w:t>
            </w:r>
            <w:r>
              <w:t>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Appeal a Moderation Report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 w:rsidRPr="00040EE9">
              <w:t>Appeal a moderation outcome</w:t>
            </w:r>
            <w:r>
              <w:t>.</w:t>
            </w:r>
          </w:p>
        </w:tc>
      </w:tr>
      <w:tr w:rsidR="002F78EC" w:rsidRPr="00040EE9" w:rsidTr="009749FF">
        <w:tc>
          <w:tcPr>
            <w:tcW w:w="3544" w:type="dxa"/>
          </w:tcPr>
          <w:p w:rsidR="002F78EC" w:rsidRPr="00040EE9" w:rsidRDefault="002F78EC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Browser &amp; Application Issues</w:t>
            </w:r>
          </w:p>
        </w:tc>
        <w:tc>
          <w:tcPr>
            <w:tcW w:w="6946" w:type="dxa"/>
          </w:tcPr>
          <w:p w:rsidR="002F78EC" w:rsidRPr="00040EE9" w:rsidRDefault="002F78EC" w:rsidP="009749FF">
            <w:pPr>
              <w:pStyle w:val="QRCBody"/>
            </w:pPr>
            <w:r w:rsidRPr="00040EE9">
              <w:t>Resolve browser issues and oracle errors</w:t>
            </w:r>
          </w:p>
        </w:tc>
      </w:tr>
    </w:tbl>
    <w:p w:rsidR="002F78EC" w:rsidRDefault="002F78EC" w:rsidP="002F78EC">
      <w:pPr>
        <w:rPr>
          <w:b/>
        </w:rPr>
      </w:pPr>
    </w:p>
    <w:p w:rsidR="002F78EC" w:rsidRDefault="002F78EC" w:rsidP="002F78EC">
      <w:pPr>
        <w:rPr>
          <w:rStyle w:val="Hyperlink"/>
          <w:rFonts w:cstheme="minorHAnsi"/>
        </w:rPr>
      </w:pPr>
      <w:r>
        <w:t>The guides can be found at</w:t>
      </w:r>
      <w:bookmarkStart w:id="5" w:name="_GoBack"/>
      <w:bookmarkEnd w:id="5"/>
      <w:r w:rsidRPr="00040EE9">
        <w:t xml:space="preserve">: </w:t>
      </w:r>
      <w:hyperlink r:id="rId18" w:history="1">
        <w:r w:rsidRPr="00040EE9">
          <w:rPr>
            <w:rStyle w:val="Hyperlink"/>
            <w:rFonts w:cstheme="minorHAnsi"/>
          </w:rPr>
          <w:t>http://www.nzqa.govt.nz/providers-partners/assessment-and-moderation/moderation-online/qrgs-and-faqs/</w:t>
        </w:r>
      </w:hyperlink>
    </w:p>
    <w:p w:rsidR="002F78EC" w:rsidRDefault="002F78EC" w:rsidP="002F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F75" w:rsidRPr="00620118" w:rsidTr="00904830">
        <w:tc>
          <w:tcPr>
            <w:tcW w:w="10456" w:type="dxa"/>
            <w:shd w:val="clear" w:color="auto" w:fill="9CC2E5" w:themeFill="accent1" w:themeFillTint="99"/>
          </w:tcPr>
          <w:p w:rsidR="00342F75" w:rsidRPr="00620118" w:rsidRDefault="00342F75" w:rsidP="00904830">
            <w:pPr>
              <w:pStyle w:val="QRCTableHeader"/>
            </w:pPr>
            <w:bookmarkStart w:id="6" w:name="_Hlk500917327"/>
            <w:r w:rsidRPr="00620118">
              <w:t xml:space="preserve">Note: Browsers </w:t>
            </w:r>
          </w:p>
        </w:tc>
      </w:tr>
      <w:tr w:rsidR="00342F75" w:rsidRPr="00620118" w:rsidTr="00904830">
        <w:tc>
          <w:tcPr>
            <w:tcW w:w="10456" w:type="dxa"/>
          </w:tcPr>
          <w:p w:rsidR="00342F75" w:rsidRPr="00620118" w:rsidRDefault="00342F75" w:rsidP="00904830">
            <w:pPr>
              <w:pStyle w:val="QRCBody"/>
            </w:pPr>
            <w:r w:rsidRPr="00620118">
              <w:t>The External Moderation is supported across a range of browsers, however not all browsers behave in the same way. If you are experiencing issues with functionality described in this guide with a browser please try a different one. We have found Mozilla Firefox provides the best experience when using the application.</w:t>
            </w:r>
          </w:p>
          <w:p w:rsidR="00342F75" w:rsidRPr="00620118" w:rsidRDefault="00342F75" w:rsidP="00904830">
            <w:pPr>
              <w:pStyle w:val="QRCBody"/>
            </w:pPr>
            <w:r w:rsidRPr="00620118">
              <w:t>For specific advice on browser issues see</w:t>
            </w:r>
            <w:r>
              <w:t xml:space="preserve"> guide:</w:t>
            </w:r>
            <w:r w:rsidRPr="00620118">
              <w:t xml:space="preserve"> </w:t>
            </w:r>
            <w:r w:rsidRPr="00620118">
              <w:rPr>
                <w:i/>
              </w:rPr>
              <w:t>Browser &amp; Application Issues</w:t>
            </w:r>
          </w:p>
        </w:tc>
      </w:tr>
      <w:bookmarkEnd w:id="6"/>
    </w:tbl>
    <w:p w:rsidR="002F78EC" w:rsidRPr="002F78EC" w:rsidRDefault="002F78EC" w:rsidP="002F78EC"/>
    <w:sectPr w:rsidR="002F78EC" w:rsidRPr="002F78EC" w:rsidSect="00D5162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AB" w:rsidRDefault="00864CAB" w:rsidP="00EF6CE8">
      <w:pPr>
        <w:spacing w:after="0" w:line="240" w:lineRule="auto"/>
      </w:pPr>
      <w:r>
        <w:separator/>
      </w:r>
    </w:p>
  </w:endnote>
  <w:endnote w:type="continuationSeparator" w:id="0">
    <w:p w:rsidR="00864CAB" w:rsidRDefault="00864CAB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0F" w:rsidRDefault="00B85C60">
    <w:pPr>
      <w:pStyle w:val="Footer"/>
    </w:pPr>
    <w:r>
      <w:t>12-Mar-2018</w:t>
    </w:r>
    <w:r w:rsidR="00E82F0F">
      <w:tab/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7C7769">
          <w:rPr>
            <w:bCs/>
            <w:noProof/>
          </w:rPr>
          <w:t>4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7C7769">
          <w:rPr>
            <w:bCs/>
            <w:noProof/>
          </w:rPr>
          <w:t>5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BC" w:rsidRDefault="00B85C60">
    <w:pPr>
      <w:pStyle w:val="Footer"/>
    </w:pPr>
    <w:r>
      <w:t>12-Mar-2018</w:t>
    </w:r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7C7769"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7C7769">
              <w:rPr>
                <w:bCs/>
                <w:noProof/>
              </w:rPr>
              <w:t>5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AB" w:rsidRDefault="00864CAB" w:rsidP="00EF6CE8">
      <w:pPr>
        <w:spacing w:after="0" w:line="240" w:lineRule="auto"/>
      </w:pPr>
      <w:r>
        <w:separator/>
      </w:r>
    </w:p>
  </w:footnote>
  <w:footnote w:type="continuationSeparator" w:id="0">
    <w:p w:rsidR="00864CAB" w:rsidRDefault="00864CAB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01" w:rsidRPr="00D5162A" w:rsidRDefault="00806601" w:rsidP="00D5162A">
    <w:pPr>
      <w:pStyle w:val="Header"/>
    </w:pPr>
    <w:r>
      <w:tab/>
    </w:r>
    <w:sdt>
      <w:sdtPr>
        <w:alias w:val="Title"/>
        <w:tag w:val=""/>
        <w:id w:val="-1955933579"/>
        <w:placeholder>
          <w:docPart w:val="8D2095ECC6FF4BE981137B4CD1C91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1062">
          <w:t>Access the external moderation application</w:t>
        </w:r>
      </w:sdtContent>
    </w:sdt>
  </w:p>
  <w:p w:rsidR="00D5162A" w:rsidRDefault="00D5162A" w:rsidP="00D51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3D9DB"/>
      <w:tblLook w:val="04A0" w:firstRow="1" w:lastRow="0" w:firstColumn="1" w:lastColumn="0" w:noHBand="0" w:noVBand="1"/>
    </w:tblPr>
    <w:tblGrid>
      <w:gridCol w:w="7729"/>
      <w:gridCol w:w="2737"/>
    </w:tblGrid>
    <w:tr w:rsidR="007517CA" w:rsidTr="0021305C">
      <w:tc>
        <w:tcPr>
          <w:tcW w:w="7938" w:type="dxa"/>
          <w:shd w:val="clear" w:color="auto" w:fill="D3D9DB"/>
        </w:tcPr>
        <w:p w:rsidR="00365952" w:rsidRPr="00365952" w:rsidRDefault="002F78EC" w:rsidP="00365952">
          <w:pPr>
            <w:pStyle w:val="QRCBody"/>
            <w:rPr>
              <w:sz w:val="56"/>
              <w:szCs w:val="56"/>
            </w:rPr>
          </w:pPr>
          <w:r>
            <w:rPr>
              <w:sz w:val="56"/>
              <w:szCs w:val="56"/>
            </w:rPr>
            <w:t>External Moderation Guide</w:t>
          </w:r>
        </w:p>
        <w:sdt>
          <w:sdt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517CA" w:rsidRPr="00365952" w:rsidRDefault="00B41062" w:rsidP="00365952">
              <w:pPr>
                <w:pStyle w:val="QRCTitle"/>
              </w:pPr>
              <w:r>
                <w:t>Access the external moderation application</w:t>
              </w:r>
            </w:p>
          </w:sdtContent>
        </w:sdt>
      </w:tc>
      <w:tc>
        <w:tcPr>
          <w:tcW w:w="2518" w:type="dxa"/>
          <w:shd w:val="clear" w:color="auto" w:fill="D3D9DB"/>
        </w:tcPr>
        <w:p w:rsidR="007517CA" w:rsidRDefault="007C7769" w:rsidP="00D5162A">
          <w:pPr>
            <w:pStyle w:val="Header"/>
          </w:pPr>
          <w:r>
            <w:rPr>
              <w:noProof/>
              <w:lang w:eastAsia="en-N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88.5pt">
                <v:imagedata r:id="rId1" o:title="NZQA-Beacon-RGB_trans"/>
              </v:shape>
            </w:pict>
          </w:r>
        </w:p>
      </w:tc>
    </w:tr>
  </w:tbl>
  <w:p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B9"/>
    <w:multiLevelType w:val="hybridMultilevel"/>
    <w:tmpl w:val="3C0AB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74EA"/>
    <w:multiLevelType w:val="hybridMultilevel"/>
    <w:tmpl w:val="BF7685F2"/>
    <w:lvl w:ilvl="0" w:tplc="8146E550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78489D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15018D"/>
    <w:multiLevelType w:val="hybridMultilevel"/>
    <w:tmpl w:val="3AE0F0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C37E2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11120A"/>
    <w:multiLevelType w:val="hybridMultilevel"/>
    <w:tmpl w:val="6892FF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A53C51"/>
    <w:multiLevelType w:val="multilevel"/>
    <w:tmpl w:val="7F6E42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7D6DD3"/>
    <w:multiLevelType w:val="hybridMultilevel"/>
    <w:tmpl w:val="25BAA106"/>
    <w:lvl w:ilvl="0" w:tplc="83164114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62CD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AC619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B57D24"/>
    <w:multiLevelType w:val="multilevel"/>
    <w:tmpl w:val="6106B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7E388B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643C71"/>
    <w:multiLevelType w:val="multilevel"/>
    <w:tmpl w:val="7382B630"/>
    <w:numStyleLink w:val="QRCSteps"/>
  </w:abstractNum>
  <w:abstractNum w:abstractNumId="20" w15:restartNumberingAfterBreak="0">
    <w:nsid w:val="6F322C15"/>
    <w:multiLevelType w:val="hybridMultilevel"/>
    <w:tmpl w:val="B6C05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9C3366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19"/>
  </w:num>
  <w:num w:numId="5">
    <w:abstractNumId w:val="21"/>
  </w:num>
  <w:num w:numId="6">
    <w:abstractNumId w:val="7"/>
  </w:num>
  <w:num w:numId="7">
    <w:abstractNumId w:val="22"/>
  </w:num>
  <w:num w:numId="8">
    <w:abstractNumId w:val="6"/>
  </w:num>
  <w:num w:numId="9">
    <w:abstractNumId w:val="11"/>
  </w:num>
  <w:num w:numId="10">
    <w:abstractNumId w:val="13"/>
  </w:num>
  <w:num w:numId="11">
    <w:abstractNumId w:val="17"/>
  </w:num>
  <w:num w:numId="12">
    <w:abstractNumId w:val="5"/>
  </w:num>
  <w:num w:numId="13">
    <w:abstractNumId w:val="10"/>
  </w:num>
  <w:num w:numId="14">
    <w:abstractNumId w:val="3"/>
  </w:num>
  <w:num w:numId="15">
    <w:abstractNumId w:val="24"/>
  </w:num>
  <w:num w:numId="16">
    <w:abstractNumId w:val="18"/>
  </w:num>
  <w:num w:numId="17">
    <w:abstractNumId w:val="16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12"/>
  </w:num>
  <w:num w:numId="23">
    <w:abstractNumId w:val="4"/>
  </w:num>
  <w:num w:numId="24">
    <w:abstractNumId w:val="6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17239"/>
    <w:rsid w:val="00026167"/>
    <w:rsid w:val="00037898"/>
    <w:rsid w:val="000557B1"/>
    <w:rsid w:val="000712A9"/>
    <w:rsid w:val="00080C88"/>
    <w:rsid w:val="000822A4"/>
    <w:rsid w:val="00087DF9"/>
    <w:rsid w:val="000C4FB1"/>
    <w:rsid w:val="000C5495"/>
    <w:rsid w:val="000E6EF3"/>
    <w:rsid w:val="000F0D32"/>
    <w:rsid w:val="00147D23"/>
    <w:rsid w:val="00161E70"/>
    <w:rsid w:val="00172CD8"/>
    <w:rsid w:val="00183B59"/>
    <w:rsid w:val="001A25E7"/>
    <w:rsid w:val="001A6563"/>
    <w:rsid w:val="001D7E96"/>
    <w:rsid w:val="001F1B7F"/>
    <w:rsid w:val="0021305C"/>
    <w:rsid w:val="00214C40"/>
    <w:rsid w:val="002253B2"/>
    <w:rsid w:val="002467C5"/>
    <w:rsid w:val="00246D5B"/>
    <w:rsid w:val="00267DD2"/>
    <w:rsid w:val="00294C75"/>
    <w:rsid w:val="002A1879"/>
    <w:rsid w:val="002A7BCA"/>
    <w:rsid w:val="002B0F3C"/>
    <w:rsid w:val="002B0FB0"/>
    <w:rsid w:val="002B3ABF"/>
    <w:rsid w:val="002C7BBC"/>
    <w:rsid w:val="002D56DF"/>
    <w:rsid w:val="002F4788"/>
    <w:rsid w:val="002F78EC"/>
    <w:rsid w:val="00305D3A"/>
    <w:rsid w:val="003409DD"/>
    <w:rsid w:val="00342F75"/>
    <w:rsid w:val="0034540D"/>
    <w:rsid w:val="00363F90"/>
    <w:rsid w:val="00365952"/>
    <w:rsid w:val="003746B0"/>
    <w:rsid w:val="00376685"/>
    <w:rsid w:val="003C4492"/>
    <w:rsid w:val="003D0F84"/>
    <w:rsid w:val="003E01D8"/>
    <w:rsid w:val="00401402"/>
    <w:rsid w:val="00411A4A"/>
    <w:rsid w:val="00421282"/>
    <w:rsid w:val="00424F60"/>
    <w:rsid w:val="00442E98"/>
    <w:rsid w:val="00456B14"/>
    <w:rsid w:val="00465D65"/>
    <w:rsid w:val="00470DD6"/>
    <w:rsid w:val="00472BBD"/>
    <w:rsid w:val="00477904"/>
    <w:rsid w:val="00490F6E"/>
    <w:rsid w:val="00494735"/>
    <w:rsid w:val="004B110E"/>
    <w:rsid w:val="004B37D9"/>
    <w:rsid w:val="004C68EB"/>
    <w:rsid w:val="00504B57"/>
    <w:rsid w:val="005204A8"/>
    <w:rsid w:val="00553391"/>
    <w:rsid w:val="00562C6E"/>
    <w:rsid w:val="00572BF4"/>
    <w:rsid w:val="005847A5"/>
    <w:rsid w:val="005A376B"/>
    <w:rsid w:val="005D37BA"/>
    <w:rsid w:val="005E4D2D"/>
    <w:rsid w:val="005F18E9"/>
    <w:rsid w:val="006061EE"/>
    <w:rsid w:val="0060721F"/>
    <w:rsid w:val="00631697"/>
    <w:rsid w:val="0063627C"/>
    <w:rsid w:val="006635EA"/>
    <w:rsid w:val="00684E0F"/>
    <w:rsid w:val="00690AAA"/>
    <w:rsid w:val="006A0DAC"/>
    <w:rsid w:val="006B3475"/>
    <w:rsid w:val="006B6E99"/>
    <w:rsid w:val="006F0359"/>
    <w:rsid w:val="007060A3"/>
    <w:rsid w:val="00712B3C"/>
    <w:rsid w:val="007517CA"/>
    <w:rsid w:val="007654FB"/>
    <w:rsid w:val="00767C03"/>
    <w:rsid w:val="007711A6"/>
    <w:rsid w:val="007738DE"/>
    <w:rsid w:val="00774350"/>
    <w:rsid w:val="007A3773"/>
    <w:rsid w:val="007B6958"/>
    <w:rsid w:val="007C2D5C"/>
    <w:rsid w:val="007C7769"/>
    <w:rsid w:val="007E1D5C"/>
    <w:rsid w:val="007E20DB"/>
    <w:rsid w:val="007F22CF"/>
    <w:rsid w:val="007F63C7"/>
    <w:rsid w:val="00806601"/>
    <w:rsid w:val="008113C9"/>
    <w:rsid w:val="00820B53"/>
    <w:rsid w:val="008305DC"/>
    <w:rsid w:val="0083317E"/>
    <w:rsid w:val="00847093"/>
    <w:rsid w:val="00862CC2"/>
    <w:rsid w:val="00864CAB"/>
    <w:rsid w:val="008A399C"/>
    <w:rsid w:val="008B2FE3"/>
    <w:rsid w:val="008D6747"/>
    <w:rsid w:val="008E38AA"/>
    <w:rsid w:val="008F1935"/>
    <w:rsid w:val="008F3ACF"/>
    <w:rsid w:val="008F6796"/>
    <w:rsid w:val="00915509"/>
    <w:rsid w:val="0092315A"/>
    <w:rsid w:val="00955FCC"/>
    <w:rsid w:val="00974EDF"/>
    <w:rsid w:val="00992650"/>
    <w:rsid w:val="00994392"/>
    <w:rsid w:val="009A7F1F"/>
    <w:rsid w:val="009D0661"/>
    <w:rsid w:val="009D2D43"/>
    <w:rsid w:val="009E4DBE"/>
    <w:rsid w:val="009F2DFD"/>
    <w:rsid w:val="009F59C3"/>
    <w:rsid w:val="00A0630F"/>
    <w:rsid w:val="00A1023D"/>
    <w:rsid w:val="00A115FD"/>
    <w:rsid w:val="00A16FBF"/>
    <w:rsid w:val="00A363DF"/>
    <w:rsid w:val="00A43EF2"/>
    <w:rsid w:val="00A462C5"/>
    <w:rsid w:val="00A51482"/>
    <w:rsid w:val="00A65D0E"/>
    <w:rsid w:val="00A75291"/>
    <w:rsid w:val="00A80604"/>
    <w:rsid w:val="00A81836"/>
    <w:rsid w:val="00A86449"/>
    <w:rsid w:val="00A87473"/>
    <w:rsid w:val="00A874A8"/>
    <w:rsid w:val="00B002E4"/>
    <w:rsid w:val="00B36516"/>
    <w:rsid w:val="00B41062"/>
    <w:rsid w:val="00B53FBC"/>
    <w:rsid w:val="00B65EB2"/>
    <w:rsid w:val="00B85C60"/>
    <w:rsid w:val="00BD5DDA"/>
    <w:rsid w:val="00BE1632"/>
    <w:rsid w:val="00BE4406"/>
    <w:rsid w:val="00C0349F"/>
    <w:rsid w:val="00C505AD"/>
    <w:rsid w:val="00C57930"/>
    <w:rsid w:val="00C61EBB"/>
    <w:rsid w:val="00C870DE"/>
    <w:rsid w:val="00CB7CBF"/>
    <w:rsid w:val="00CC1C92"/>
    <w:rsid w:val="00CC66FA"/>
    <w:rsid w:val="00CF5964"/>
    <w:rsid w:val="00D115F5"/>
    <w:rsid w:val="00D22CD4"/>
    <w:rsid w:val="00D5162A"/>
    <w:rsid w:val="00D63323"/>
    <w:rsid w:val="00E0587C"/>
    <w:rsid w:val="00E46171"/>
    <w:rsid w:val="00E5144C"/>
    <w:rsid w:val="00E542AC"/>
    <w:rsid w:val="00E547DF"/>
    <w:rsid w:val="00E75463"/>
    <w:rsid w:val="00E82F0F"/>
    <w:rsid w:val="00EA372A"/>
    <w:rsid w:val="00EA6004"/>
    <w:rsid w:val="00EB7244"/>
    <w:rsid w:val="00EC0E14"/>
    <w:rsid w:val="00EC4A42"/>
    <w:rsid w:val="00EF5757"/>
    <w:rsid w:val="00EF6CE8"/>
    <w:rsid w:val="00EF7C9F"/>
    <w:rsid w:val="00F07A25"/>
    <w:rsid w:val="00F30EB0"/>
    <w:rsid w:val="00F342EA"/>
    <w:rsid w:val="00F51CF8"/>
    <w:rsid w:val="00F635CC"/>
    <w:rsid w:val="00F83A10"/>
    <w:rsid w:val="00F86D61"/>
    <w:rsid w:val="00FB52E0"/>
    <w:rsid w:val="00FC02C8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5952"/>
  </w:style>
  <w:style w:type="paragraph" w:styleId="Heading1">
    <w:name w:val="heading 1"/>
    <w:basedOn w:val="Normal"/>
    <w:next w:val="Normal"/>
    <w:link w:val="Heading1Char"/>
    <w:uiPriority w:val="9"/>
    <w:qFormat/>
    <w:rsid w:val="002F78E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rFonts w:ascii="Gill Sans MT" w:hAnsi="Gill Sans MT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rFonts w:ascii="Gill Sans MT" w:hAnsi="Gill Sans MT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2B0FB0"/>
    <w:pPr>
      <w:spacing w:before="120" w:after="120" w:line="240" w:lineRule="auto"/>
    </w:pPr>
    <w:rPr>
      <w:rFonts w:ascii="Gill Sans MT" w:hAnsi="Gill Sans MT"/>
    </w:r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qFormat/>
    <w:rsid w:val="008F1935"/>
    <w:pPr>
      <w:numPr>
        <w:numId w:val="8"/>
      </w:numPr>
    </w:pPr>
    <w:rPr>
      <w:rFonts w:ascii="Gill Sans MT" w:hAnsi="Gill Sans MT"/>
      <w:sz w:val="20"/>
    </w:rPr>
  </w:style>
  <w:style w:type="paragraph" w:customStyle="1" w:styleId="Indent">
    <w:name w:val="Indent"/>
    <w:basedOn w:val="Normal"/>
    <w:qFormat/>
    <w:rsid w:val="00363F90"/>
    <w:pPr>
      <w:spacing w:before="120" w:after="120" w:line="240" w:lineRule="auto"/>
      <w:ind w:left="386"/>
    </w:pPr>
  </w:style>
  <w:style w:type="paragraph" w:styleId="NormalWeb">
    <w:name w:val="Normal (Web)"/>
    <w:basedOn w:val="Normal"/>
    <w:uiPriority w:val="99"/>
    <w:semiHidden/>
    <w:unhideWhenUsed/>
    <w:rsid w:val="00363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6061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3EF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8E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2F78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nzqa.govt.nz/providers-partners/assessment-and-moderation/moderation-online/qrgs-and-faqs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ervices.education.govt.nz/education-sector-log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BE7EAC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8D2095ECC6FF4BE981137B4CD1C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AB7B-487C-44C8-A762-5BDA0B2BC0A5}"/>
      </w:docPartPr>
      <w:docPartBody>
        <w:p w:rsidR="00BE7EAC" w:rsidRDefault="0046009E" w:rsidP="0046009E">
          <w:pPr>
            <w:pStyle w:val="8D2095ECC6FF4BE981137B4CD1C9107B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E"/>
    <w:rsid w:val="00093468"/>
    <w:rsid w:val="000955FC"/>
    <w:rsid w:val="001C3899"/>
    <w:rsid w:val="001D77F3"/>
    <w:rsid w:val="001E10CF"/>
    <w:rsid w:val="00200566"/>
    <w:rsid w:val="00225CA2"/>
    <w:rsid w:val="00292201"/>
    <w:rsid w:val="003A5DA1"/>
    <w:rsid w:val="00434A6C"/>
    <w:rsid w:val="00457925"/>
    <w:rsid w:val="0046009E"/>
    <w:rsid w:val="0049298C"/>
    <w:rsid w:val="00534781"/>
    <w:rsid w:val="00720FE8"/>
    <w:rsid w:val="007D09B0"/>
    <w:rsid w:val="00891099"/>
    <w:rsid w:val="009701B1"/>
    <w:rsid w:val="00A312AD"/>
    <w:rsid w:val="00AE3261"/>
    <w:rsid w:val="00BA183F"/>
    <w:rsid w:val="00BC652B"/>
    <w:rsid w:val="00BE7EAC"/>
    <w:rsid w:val="00CC62C8"/>
    <w:rsid w:val="00E13213"/>
    <w:rsid w:val="00EA0F39"/>
    <w:rsid w:val="00EE1DB5"/>
    <w:rsid w:val="00F03615"/>
    <w:rsid w:val="00F86BD2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9E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6B17-55B1-4D50-8B42-C4F9E302DA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27BCAF3-735D-47AF-A77E-94951036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DED68D65.dotm</Template>
  <TotalTime>262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the external moderation application</vt:lpstr>
    </vt:vector>
  </TitlesOfParts>
  <Company>New Zealand Qualifications Authority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the external moderation application</dc:title>
  <dc:subject/>
  <dc:creator>Kris Sivewright</dc:creator>
  <cp:keywords/>
  <dc:description/>
  <cp:lastModifiedBy>Jackie Ryan</cp:lastModifiedBy>
  <cp:revision>12</cp:revision>
  <cp:lastPrinted>2018-03-11T22:10:00Z</cp:lastPrinted>
  <dcterms:created xsi:type="dcterms:W3CDTF">2017-11-01T21:52:00Z</dcterms:created>
  <dcterms:modified xsi:type="dcterms:W3CDTF">2018-03-12T03:57:00Z</dcterms:modified>
</cp:coreProperties>
</file>