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7724"/>
        <w:rPr>
          <w:sz w:val="20"/>
        </w:rPr>
      </w:pPr>
      <w:r>
        <w:rPr>
          <w:sz w:val="20"/>
        </w:rPr>
        <w:drawing>
          <wp:inline distT="0" distB="0" distL="0" distR="0">
            <wp:extent cx="1471810" cy="980694"/>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471810" cy="980694"/>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04"/>
        <w:ind w:left="736" w:right="895" w:firstLine="0"/>
        <w:jc w:val="center"/>
        <w:rPr>
          <w:sz w:val="64"/>
        </w:rPr>
      </w:pPr>
      <w:r>
        <w:rPr>
          <w:color w:val="BF0000"/>
          <w:w w:val="105"/>
          <w:sz w:val="64"/>
        </w:rPr>
        <w:t>NCEA</w:t>
      </w:r>
    </w:p>
    <w:p>
      <w:pPr>
        <w:spacing w:before="1"/>
        <w:ind w:left="1760" w:right="1827" w:firstLine="1725"/>
        <w:jc w:val="left"/>
        <w:rPr>
          <w:sz w:val="64"/>
        </w:rPr>
      </w:pPr>
      <w:r>
        <w:rPr>
          <w:color w:val="BF0000"/>
          <w:w w:val="120"/>
          <w:sz w:val="64"/>
        </w:rPr>
        <w:t>Design and </w:t>
      </w:r>
      <w:r>
        <w:rPr>
          <w:color w:val="BF0000"/>
          <w:w w:val="115"/>
          <w:sz w:val="64"/>
        </w:rPr>
        <w:t>Visual Communication</w:t>
      </w:r>
    </w:p>
    <w:p>
      <w:pPr>
        <w:spacing w:line="735" w:lineRule="exact" w:before="0"/>
        <w:ind w:left="736" w:right="897" w:firstLine="0"/>
        <w:jc w:val="center"/>
        <w:rPr>
          <w:sz w:val="64"/>
        </w:rPr>
      </w:pPr>
      <w:r>
        <w:rPr>
          <w:color w:val="BF0000"/>
          <w:sz w:val="64"/>
        </w:rPr>
        <w:t>(DVC)</w:t>
      </w:r>
    </w:p>
    <w:p>
      <w:pPr>
        <w:pStyle w:val="BodyText"/>
        <w:spacing w:before="3"/>
        <w:rPr>
          <w:sz w:val="95"/>
        </w:rPr>
      </w:pPr>
    </w:p>
    <w:p>
      <w:pPr>
        <w:spacing w:before="0"/>
        <w:ind w:left="736" w:right="895" w:firstLine="0"/>
        <w:jc w:val="center"/>
        <w:rPr>
          <w:sz w:val="64"/>
        </w:rPr>
      </w:pPr>
      <w:r>
        <w:rPr>
          <w:w w:val="120"/>
          <w:sz w:val="64"/>
        </w:rPr>
        <w:t>Guide Notes and</w:t>
      </w:r>
      <w:r>
        <w:rPr>
          <w:spacing w:val="-58"/>
          <w:w w:val="120"/>
          <w:sz w:val="64"/>
        </w:rPr>
        <w:t> </w:t>
      </w:r>
      <w:r>
        <w:rPr>
          <w:w w:val="120"/>
          <w:sz w:val="64"/>
        </w:rPr>
        <w:t>Instructions 2019</w:t>
      </w:r>
    </w:p>
    <w:p>
      <w:pPr>
        <w:pStyle w:val="BodyText"/>
        <w:rPr>
          <w:sz w:val="70"/>
        </w:rPr>
      </w:pPr>
    </w:p>
    <w:p>
      <w:pPr>
        <w:pStyle w:val="BodyText"/>
        <w:rPr>
          <w:sz w:val="70"/>
        </w:rPr>
      </w:pPr>
    </w:p>
    <w:p>
      <w:pPr>
        <w:pStyle w:val="BodyText"/>
        <w:rPr>
          <w:sz w:val="70"/>
        </w:rPr>
      </w:pPr>
    </w:p>
    <w:p>
      <w:pPr>
        <w:pStyle w:val="BodyText"/>
        <w:spacing w:before="1"/>
        <w:rPr>
          <w:sz w:val="55"/>
        </w:rPr>
      </w:pPr>
    </w:p>
    <w:p>
      <w:pPr>
        <w:spacing w:before="0"/>
        <w:ind w:left="2903" w:right="0" w:firstLine="0"/>
        <w:jc w:val="left"/>
        <w:rPr>
          <w:sz w:val="24"/>
        </w:rPr>
      </w:pPr>
      <w:r>
        <w:rPr>
          <w:w w:val="105"/>
          <w:sz w:val="24"/>
        </w:rPr>
        <w:t>Thank you for taking on this significant role.</w:t>
      </w:r>
    </w:p>
    <w:p>
      <w:pPr>
        <w:pStyle w:val="BodyText"/>
        <w:spacing w:before="10"/>
        <w:rPr>
          <w:sz w:val="20"/>
        </w:rPr>
      </w:pPr>
    </w:p>
    <w:p>
      <w:pPr>
        <w:spacing w:before="0"/>
        <w:ind w:left="1695" w:right="0" w:firstLine="0"/>
        <w:jc w:val="left"/>
        <w:rPr>
          <w:sz w:val="24"/>
        </w:rPr>
      </w:pPr>
      <w:r>
        <w:rPr>
          <w:w w:val="110"/>
          <w:sz w:val="24"/>
        </w:rPr>
        <w:t>These ‘Guide Notes and Instructions’ must be read by all markers.</w:t>
      </w:r>
    </w:p>
    <w:p>
      <w:pPr>
        <w:pStyle w:val="BodyText"/>
        <w:spacing w:before="10"/>
        <w:rPr>
          <w:sz w:val="20"/>
        </w:rPr>
      </w:pPr>
    </w:p>
    <w:p>
      <w:pPr>
        <w:spacing w:before="0"/>
        <w:ind w:left="736" w:right="899" w:firstLine="0"/>
        <w:jc w:val="center"/>
        <w:rPr>
          <w:sz w:val="24"/>
        </w:rPr>
      </w:pPr>
      <w:r>
        <w:rPr>
          <w:w w:val="110"/>
          <w:sz w:val="24"/>
        </w:rPr>
        <w:t>Please reread these guide notes and instructions as you perform each of the tasks associated with marking.</w:t>
      </w:r>
    </w:p>
    <w:p>
      <w:pPr>
        <w:pStyle w:val="BodyText"/>
        <w:spacing w:before="10"/>
        <w:rPr>
          <w:sz w:val="20"/>
        </w:rPr>
      </w:pPr>
    </w:p>
    <w:p>
      <w:pPr>
        <w:spacing w:line="343" w:lineRule="auto" w:before="1"/>
        <w:ind w:left="1902" w:right="2065" w:firstLine="3"/>
        <w:jc w:val="center"/>
        <w:rPr>
          <w:sz w:val="24"/>
        </w:rPr>
      </w:pPr>
      <w:r>
        <w:rPr>
          <w:w w:val="105"/>
          <w:sz w:val="24"/>
        </w:rPr>
        <w:t>All guide notes will be available online at: https://secure.nzqa.govt.nz/for-partners/marker/view-forms.do.</w:t>
      </w:r>
    </w:p>
    <w:p>
      <w:pPr>
        <w:spacing w:after="0" w:line="343" w:lineRule="auto"/>
        <w:jc w:val="center"/>
        <w:rPr>
          <w:sz w:val="24"/>
        </w:rPr>
        <w:sectPr>
          <w:type w:val="continuous"/>
          <w:pgSz w:w="11910" w:h="16840"/>
          <w:pgMar w:top="1120" w:bottom="280" w:left="740" w:right="580"/>
        </w:sectPr>
      </w:pPr>
    </w:p>
    <w:p>
      <w:pPr>
        <w:spacing w:before="76"/>
        <w:ind w:left="392" w:right="0" w:firstLine="0"/>
        <w:jc w:val="left"/>
        <w:rPr>
          <w:sz w:val="26"/>
        </w:rPr>
      </w:pPr>
      <w:r>
        <w:rPr/>
        <w:pict>
          <v:shape style="position:absolute;margin-left:66pt;margin-top:374.880005pt;width:463.45pt;height:44.8pt;mso-position-horizontal-relative:page;mso-position-vertical-relative:page;z-index:1048" type="#_x0000_t202" filled="true" fillcolor="#ffbf00" stroked="true" strokeweight=".720017pt" strokecolor="#000000">
            <v:textbox inset="0,0,0,0">
              <w:txbxContent>
                <w:p>
                  <w:pPr>
                    <w:pStyle w:val="BodyText"/>
                    <w:spacing w:line="252" w:lineRule="exact" w:before="3"/>
                    <w:ind w:left="671"/>
                  </w:pPr>
                  <w:r>
                    <w:rPr>
                      <w:w w:val="115"/>
                    </w:rPr>
                    <w:t>All work associated with the marking process is STRICTLY CONFIDENTIAL.</w:t>
                  </w:r>
                </w:p>
                <w:p>
                  <w:pPr>
                    <w:pStyle w:val="BodyText"/>
                    <w:spacing w:line="244" w:lineRule="auto"/>
                    <w:ind w:left="239" w:right="234"/>
                    <w:jc w:val="center"/>
                  </w:pPr>
                  <w:r>
                    <w:rPr>
                      <w:w w:val="120"/>
                    </w:rPr>
                    <w:t>You must not discuss the contents of candidate portfolios, assessment schedules or associated material with any person or organisation outside of the Panel.</w:t>
                  </w:r>
                </w:p>
              </w:txbxContent>
            </v:textbox>
            <v:fill type="solid"/>
            <v:stroke dashstyle="solid"/>
            <w10:wrap type="none"/>
          </v:shape>
        </w:pict>
      </w:r>
      <w:r>
        <w:rPr>
          <w:w w:val="105"/>
          <w:sz w:val="26"/>
        </w:rPr>
        <w:t>PANEL LEADER AND CHECK MARKER CONTACT DETAILS</w:t>
      </w:r>
    </w:p>
    <w:p>
      <w:pPr>
        <w:pStyle w:val="BodyText"/>
        <w:spacing w:before="9" w:after="1"/>
        <w:rPr>
          <w:sz w:val="21"/>
        </w:rPr>
      </w:pPr>
    </w:p>
    <w:tbl>
      <w:tblPr>
        <w:tblW w:w="0" w:type="auto"/>
        <w:jc w:val="left"/>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4"/>
        <w:gridCol w:w="2016"/>
        <w:gridCol w:w="2040"/>
        <w:gridCol w:w="2160"/>
        <w:gridCol w:w="2400"/>
      </w:tblGrid>
      <w:tr>
        <w:trPr>
          <w:trHeight w:val="940" w:hRule="atLeast"/>
        </w:trPr>
        <w:tc>
          <w:tcPr>
            <w:tcW w:w="1104" w:type="dxa"/>
            <w:tcBorders>
              <w:bottom w:val="single" w:sz="6" w:space="0" w:color="000000"/>
              <w:right w:val="single" w:sz="6" w:space="0" w:color="000000"/>
            </w:tcBorders>
            <w:shd w:val="clear" w:color="auto" w:fill="00AFEF"/>
          </w:tcPr>
          <w:p>
            <w:pPr>
              <w:pStyle w:val="TableParagraph"/>
              <w:rPr>
                <w:sz w:val="22"/>
              </w:rPr>
            </w:pPr>
          </w:p>
        </w:tc>
        <w:tc>
          <w:tcPr>
            <w:tcW w:w="2016" w:type="dxa"/>
            <w:tcBorders>
              <w:left w:val="single" w:sz="6" w:space="0" w:color="000000"/>
              <w:bottom w:val="single" w:sz="6" w:space="0" w:color="000000"/>
              <w:right w:val="single" w:sz="6" w:space="0" w:color="000000"/>
            </w:tcBorders>
            <w:shd w:val="clear" w:color="auto" w:fill="D8D8D8"/>
          </w:tcPr>
          <w:p>
            <w:pPr>
              <w:pStyle w:val="TableParagraph"/>
              <w:spacing w:before="7"/>
              <w:rPr>
                <w:sz w:val="32"/>
              </w:rPr>
            </w:pPr>
          </w:p>
          <w:p>
            <w:pPr>
              <w:pStyle w:val="TableParagraph"/>
              <w:ind w:left="682" w:right="673"/>
              <w:jc w:val="center"/>
              <w:rPr>
                <w:sz w:val="22"/>
              </w:rPr>
            </w:pPr>
            <w:r>
              <w:rPr>
                <w:w w:val="115"/>
                <w:sz w:val="22"/>
              </w:rPr>
              <w:t>Name</w:t>
            </w:r>
          </w:p>
        </w:tc>
        <w:tc>
          <w:tcPr>
            <w:tcW w:w="2040" w:type="dxa"/>
            <w:tcBorders>
              <w:left w:val="single" w:sz="6" w:space="0" w:color="000000"/>
              <w:bottom w:val="single" w:sz="6" w:space="0" w:color="000000"/>
              <w:right w:val="single" w:sz="6" w:space="0" w:color="000000"/>
            </w:tcBorders>
            <w:shd w:val="clear" w:color="auto" w:fill="D8D8D8"/>
          </w:tcPr>
          <w:p>
            <w:pPr>
              <w:pStyle w:val="TableParagraph"/>
              <w:spacing w:line="297" w:lineRule="auto" w:before="188"/>
              <w:ind w:left="273" w:hanging="104"/>
              <w:rPr>
                <w:sz w:val="22"/>
              </w:rPr>
            </w:pPr>
            <w:r>
              <w:rPr>
                <w:w w:val="125"/>
                <w:sz w:val="22"/>
              </w:rPr>
              <w:t>School address, phone and fax</w:t>
            </w:r>
          </w:p>
        </w:tc>
        <w:tc>
          <w:tcPr>
            <w:tcW w:w="2160" w:type="dxa"/>
            <w:tcBorders>
              <w:left w:val="single" w:sz="6" w:space="0" w:color="000000"/>
              <w:bottom w:val="single" w:sz="6" w:space="0" w:color="000000"/>
              <w:right w:val="single" w:sz="6" w:space="0" w:color="000000"/>
            </w:tcBorders>
            <w:shd w:val="clear" w:color="auto" w:fill="D8D8D8"/>
          </w:tcPr>
          <w:p>
            <w:pPr>
              <w:pStyle w:val="TableParagraph"/>
              <w:spacing w:line="297" w:lineRule="auto" w:before="188"/>
              <w:ind w:left="522" w:hanging="202"/>
              <w:rPr>
                <w:sz w:val="22"/>
              </w:rPr>
            </w:pPr>
            <w:r>
              <w:rPr>
                <w:w w:val="120"/>
                <w:sz w:val="22"/>
              </w:rPr>
              <w:t>Home address and phone</w:t>
            </w:r>
          </w:p>
        </w:tc>
        <w:tc>
          <w:tcPr>
            <w:tcW w:w="2400" w:type="dxa"/>
            <w:tcBorders>
              <w:left w:val="single" w:sz="6" w:space="0" w:color="000000"/>
              <w:bottom w:val="single" w:sz="6" w:space="0" w:color="000000"/>
            </w:tcBorders>
            <w:shd w:val="clear" w:color="auto" w:fill="D8D8D8"/>
          </w:tcPr>
          <w:p>
            <w:pPr>
              <w:pStyle w:val="TableParagraph"/>
              <w:spacing w:before="1"/>
              <w:rPr>
                <w:sz w:val="30"/>
              </w:rPr>
            </w:pPr>
          </w:p>
          <w:p>
            <w:pPr>
              <w:pStyle w:val="TableParagraph"/>
              <w:ind w:left="453"/>
              <w:rPr>
                <w:sz w:val="22"/>
              </w:rPr>
            </w:pPr>
            <w:r>
              <w:rPr>
                <w:w w:val="120"/>
                <w:sz w:val="22"/>
              </w:rPr>
              <w:t>Email address</w:t>
            </w:r>
          </w:p>
        </w:tc>
      </w:tr>
      <w:tr>
        <w:trPr>
          <w:trHeight w:val="1264" w:hRule="atLeast"/>
        </w:trPr>
        <w:tc>
          <w:tcPr>
            <w:tcW w:w="1104" w:type="dxa"/>
            <w:tcBorders>
              <w:top w:val="single" w:sz="6" w:space="0" w:color="000000"/>
              <w:bottom w:val="single" w:sz="6" w:space="0" w:color="000000"/>
              <w:right w:val="single" w:sz="6" w:space="0" w:color="000000"/>
            </w:tcBorders>
            <w:shd w:val="clear" w:color="auto" w:fill="D8D8D8"/>
          </w:tcPr>
          <w:p>
            <w:pPr>
              <w:pStyle w:val="TableParagraph"/>
              <w:rPr>
                <w:sz w:val="33"/>
              </w:rPr>
            </w:pPr>
          </w:p>
          <w:p>
            <w:pPr>
              <w:pStyle w:val="TableParagraph"/>
              <w:ind w:left="227" w:right="199" w:firstLine="28"/>
              <w:rPr>
                <w:sz w:val="22"/>
              </w:rPr>
            </w:pPr>
            <w:r>
              <w:rPr>
                <w:w w:val="120"/>
                <w:sz w:val="22"/>
              </w:rPr>
              <w:t>Panel leader</w:t>
            </w:r>
          </w:p>
        </w:tc>
        <w:tc>
          <w:tcPr>
            <w:tcW w:w="2016"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2040"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2160" w:type="dxa"/>
            <w:tcBorders>
              <w:top w:val="single" w:sz="6" w:space="0" w:color="000000"/>
              <w:left w:val="single" w:sz="6" w:space="0" w:color="000000"/>
              <w:bottom w:val="single" w:sz="6" w:space="0" w:color="000000"/>
              <w:right w:val="single" w:sz="6" w:space="0" w:color="000000"/>
            </w:tcBorders>
          </w:tcPr>
          <w:p>
            <w:pPr>
              <w:pStyle w:val="TableParagraph"/>
              <w:rPr>
                <w:sz w:val="22"/>
              </w:rPr>
            </w:pPr>
          </w:p>
        </w:tc>
        <w:tc>
          <w:tcPr>
            <w:tcW w:w="2400" w:type="dxa"/>
            <w:tcBorders>
              <w:top w:val="single" w:sz="6" w:space="0" w:color="000000"/>
              <w:left w:val="single" w:sz="6" w:space="0" w:color="000000"/>
              <w:bottom w:val="single" w:sz="6" w:space="0" w:color="000000"/>
            </w:tcBorders>
          </w:tcPr>
          <w:p>
            <w:pPr>
              <w:pStyle w:val="TableParagraph"/>
              <w:rPr>
                <w:sz w:val="22"/>
              </w:rPr>
            </w:pPr>
          </w:p>
        </w:tc>
      </w:tr>
      <w:tr>
        <w:trPr>
          <w:trHeight w:val="1266" w:hRule="atLeast"/>
        </w:trPr>
        <w:tc>
          <w:tcPr>
            <w:tcW w:w="1104" w:type="dxa"/>
            <w:tcBorders>
              <w:top w:val="single" w:sz="6" w:space="0" w:color="000000"/>
              <w:right w:val="single" w:sz="6" w:space="0" w:color="000000"/>
            </w:tcBorders>
            <w:shd w:val="clear" w:color="auto" w:fill="D8D8D8"/>
          </w:tcPr>
          <w:p>
            <w:pPr>
              <w:pStyle w:val="TableParagraph"/>
              <w:spacing w:before="8"/>
              <w:rPr>
                <w:sz w:val="35"/>
              </w:rPr>
            </w:pPr>
          </w:p>
          <w:p>
            <w:pPr>
              <w:pStyle w:val="TableParagraph"/>
              <w:ind w:left="184" w:firstLine="36"/>
              <w:rPr>
                <w:sz w:val="22"/>
              </w:rPr>
            </w:pPr>
            <w:r>
              <w:rPr>
                <w:w w:val="120"/>
                <w:sz w:val="22"/>
              </w:rPr>
              <w:t>Check </w:t>
            </w:r>
            <w:r>
              <w:rPr>
                <w:w w:val="115"/>
                <w:sz w:val="22"/>
              </w:rPr>
              <w:t>marker</w:t>
            </w:r>
          </w:p>
        </w:tc>
        <w:tc>
          <w:tcPr>
            <w:tcW w:w="2016" w:type="dxa"/>
            <w:tcBorders>
              <w:top w:val="single" w:sz="6" w:space="0" w:color="000000"/>
              <w:left w:val="single" w:sz="6" w:space="0" w:color="000000"/>
              <w:right w:val="single" w:sz="6" w:space="0" w:color="000000"/>
            </w:tcBorders>
          </w:tcPr>
          <w:p>
            <w:pPr>
              <w:pStyle w:val="TableParagraph"/>
              <w:rPr>
                <w:sz w:val="22"/>
              </w:rPr>
            </w:pPr>
          </w:p>
        </w:tc>
        <w:tc>
          <w:tcPr>
            <w:tcW w:w="2040" w:type="dxa"/>
            <w:tcBorders>
              <w:top w:val="single" w:sz="6" w:space="0" w:color="000000"/>
              <w:left w:val="single" w:sz="6" w:space="0" w:color="000000"/>
              <w:right w:val="single" w:sz="6" w:space="0" w:color="000000"/>
            </w:tcBorders>
          </w:tcPr>
          <w:p>
            <w:pPr>
              <w:pStyle w:val="TableParagraph"/>
              <w:rPr>
                <w:sz w:val="22"/>
              </w:rPr>
            </w:pPr>
          </w:p>
        </w:tc>
        <w:tc>
          <w:tcPr>
            <w:tcW w:w="2160" w:type="dxa"/>
            <w:tcBorders>
              <w:top w:val="single" w:sz="6" w:space="0" w:color="000000"/>
              <w:left w:val="single" w:sz="6" w:space="0" w:color="000000"/>
              <w:right w:val="single" w:sz="6" w:space="0" w:color="000000"/>
            </w:tcBorders>
          </w:tcPr>
          <w:p>
            <w:pPr>
              <w:pStyle w:val="TableParagraph"/>
              <w:rPr>
                <w:sz w:val="22"/>
              </w:rPr>
            </w:pPr>
          </w:p>
        </w:tc>
        <w:tc>
          <w:tcPr>
            <w:tcW w:w="2400" w:type="dxa"/>
            <w:tcBorders>
              <w:top w:val="single" w:sz="6" w:space="0" w:color="000000"/>
              <w:left w:val="single" w:sz="6" w:space="0" w:color="000000"/>
            </w:tcBorders>
          </w:tcPr>
          <w:p>
            <w:pPr>
              <w:pStyle w:val="TableParagraph"/>
              <w:rPr>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r>
        <w:rPr/>
        <w:pict>
          <v:shape style="position:absolute;margin-left:62.280003pt;margin-top:17.483896pt;width:470.8pt;height:137.65pt;mso-position-horizontal-relative:page;mso-position-vertical-relative:paragraph;z-index:-1024;mso-wrap-distance-left:0;mso-wrap-distance-right:0" type="#_x0000_t202" filled="true" fillcolor="#d89593" stroked="true" strokeweight=".479966pt" strokecolor="#000000">
            <v:textbox inset="0,0,0,0">
              <w:txbxContent>
                <w:p>
                  <w:pPr>
                    <w:pStyle w:val="BodyText"/>
                  </w:pPr>
                </w:p>
                <w:p>
                  <w:pPr>
                    <w:pStyle w:val="BodyText"/>
                    <w:ind w:left="2558" w:hanging="1896"/>
                  </w:pPr>
                  <w:r>
                    <w:rPr>
                      <w:w w:val="120"/>
                    </w:rPr>
                    <w:t>We</w:t>
                  </w:r>
                  <w:r>
                    <w:rPr>
                      <w:spacing w:val="-15"/>
                      <w:w w:val="120"/>
                    </w:rPr>
                    <w:t> </w:t>
                  </w:r>
                  <w:r>
                    <w:rPr>
                      <w:w w:val="120"/>
                    </w:rPr>
                    <w:t>welcome</w:t>
                  </w:r>
                  <w:r>
                    <w:rPr>
                      <w:spacing w:val="-10"/>
                      <w:w w:val="120"/>
                    </w:rPr>
                    <w:t> </w:t>
                  </w:r>
                  <w:r>
                    <w:rPr>
                      <w:w w:val="120"/>
                    </w:rPr>
                    <w:t>any</w:t>
                  </w:r>
                  <w:r>
                    <w:rPr>
                      <w:spacing w:val="-15"/>
                      <w:w w:val="120"/>
                    </w:rPr>
                    <w:t> </w:t>
                  </w:r>
                  <w:r>
                    <w:rPr>
                      <w:w w:val="120"/>
                    </w:rPr>
                    <w:t>suggestions</w:t>
                  </w:r>
                  <w:r>
                    <w:rPr>
                      <w:spacing w:val="-14"/>
                      <w:w w:val="120"/>
                    </w:rPr>
                    <w:t> </w:t>
                  </w:r>
                  <w:r>
                    <w:rPr>
                      <w:w w:val="120"/>
                    </w:rPr>
                    <w:t>from</w:t>
                  </w:r>
                  <w:r>
                    <w:rPr>
                      <w:spacing w:val="-11"/>
                      <w:w w:val="120"/>
                    </w:rPr>
                    <w:t> </w:t>
                  </w:r>
                  <w:r>
                    <w:rPr>
                      <w:w w:val="120"/>
                    </w:rPr>
                    <w:t>markers</w:t>
                  </w:r>
                  <w:r>
                    <w:rPr>
                      <w:spacing w:val="-12"/>
                      <w:w w:val="120"/>
                    </w:rPr>
                    <w:t> </w:t>
                  </w:r>
                  <w:r>
                    <w:rPr>
                      <w:w w:val="120"/>
                    </w:rPr>
                    <w:t>to</w:t>
                  </w:r>
                  <w:r>
                    <w:rPr>
                      <w:spacing w:val="-10"/>
                      <w:w w:val="120"/>
                    </w:rPr>
                    <w:t> </w:t>
                  </w:r>
                  <w:r>
                    <w:rPr>
                      <w:w w:val="120"/>
                    </w:rPr>
                    <w:t>help</w:t>
                  </w:r>
                  <w:r>
                    <w:rPr>
                      <w:spacing w:val="-12"/>
                      <w:w w:val="120"/>
                    </w:rPr>
                    <w:t> </w:t>
                  </w:r>
                  <w:r>
                    <w:rPr>
                      <w:w w:val="120"/>
                    </w:rPr>
                    <w:t>us</w:t>
                  </w:r>
                  <w:r>
                    <w:rPr>
                      <w:spacing w:val="-7"/>
                      <w:w w:val="120"/>
                    </w:rPr>
                    <w:t> </w:t>
                  </w:r>
                  <w:r>
                    <w:rPr>
                      <w:w w:val="120"/>
                    </w:rPr>
                    <w:t>review</w:t>
                  </w:r>
                  <w:r>
                    <w:rPr>
                      <w:spacing w:val="-6"/>
                      <w:w w:val="120"/>
                    </w:rPr>
                    <w:t> </w:t>
                  </w:r>
                  <w:r>
                    <w:rPr>
                      <w:w w:val="120"/>
                    </w:rPr>
                    <w:t>and</w:t>
                  </w:r>
                  <w:r>
                    <w:rPr>
                      <w:spacing w:val="-12"/>
                      <w:w w:val="120"/>
                    </w:rPr>
                    <w:t> </w:t>
                  </w:r>
                  <w:r>
                    <w:rPr>
                      <w:w w:val="120"/>
                    </w:rPr>
                    <w:t>modify</w:t>
                  </w:r>
                  <w:r>
                    <w:rPr>
                      <w:spacing w:val="-13"/>
                      <w:w w:val="120"/>
                    </w:rPr>
                    <w:t> </w:t>
                  </w:r>
                  <w:r>
                    <w:rPr>
                      <w:w w:val="120"/>
                    </w:rPr>
                    <w:t>our processes</w:t>
                  </w:r>
                  <w:r>
                    <w:rPr>
                      <w:spacing w:val="-10"/>
                      <w:w w:val="120"/>
                    </w:rPr>
                    <w:t> </w:t>
                  </w:r>
                  <w:r>
                    <w:rPr>
                      <w:w w:val="120"/>
                    </w:rPr>
                    <w:t>for</w:t>
                  </w:r>
                  <w:r>
                    <w:rPr>
                      <w:spacing w:val="-11"/>
                      <w:w w:val="120"/>
                    </w:rPr>
                    <w:t> </w:t>
                  </w:r>
                  <w:r>
                    <w:rPr>
                      <w:w w:val="120"/>
                    </w:rPr>
                    <w:t>the</w:t>
                  </w:r>
                  <w:r>
                    <w:rPr>
                      <w:spacing w:val="-12"/>
                      <w:w w:val="120"/>
                    </w:rPr>
                    <w:t> </w:t>
                  </w:r>
                  <w:r>
                    <w:rPr>
                      <w:w w:val="120"/>
                    </w:rPr>
                    <w:t>marking</w:t>
                  </w:r>
                  <w:r>
                    <w:rPr>
                      <w:spacing w:val="-9"/>
                      <w:w w:val="120"/>
                    </w:rPr>
                    <w:t> </w:t>
                  </w:r>
                  <w:r>
                    <w:rPr>
                      <w:w w:val="120"/>
                    </w:rPr>
                    <w:t>of</w:t>
                  </w:r>
                  <w:r>
                    <w:rPr>
                      <w:spacing w:val="-9"/>
                      <w:w w:val="120"/>
                    </w:rPr>
                    <w:t> </w:t>
                  </w:r>
                  <w:r>
                    <w:rPr>
                      <w:w w:val="120"/>
                    </w:rPr>
                    <w:t>NCEA</w:t>
                  </w:r>
                  <w:r>
                    <w:rPr>
                      <w:spacing w:val="-15"/>
                      <w:w w:val="120"/>
                    </w:rPr>
                    <w:t> </w:t>
                  </w:r>
                  <w:r>
                    <w:rPr>
                      <w:w w:val="120"/>
                    </w:rPr>
                    <w:t>DVC.</w:t>
                  </w:r>
                </w:p>
              </w:txbxContent>
            </v:textbox>
            <v:fill type="solid"/>
            <v:stroke dashstyle="solid"/>
            <w10:wrap type="topAndBottom"/>
          </v:shape>
        </w:pict>
      </w:r>
    </w:p>
    <w:p>
      <w:pPr>
        <w:spacing w:after="0"/>
        <w:rPr>
          <w:sz w:val="26"/>
        </w:rPr>
        <w:sectPr>
          <w:footerReference w:type="default" r:id="rId6"/>
          <w:pgSz w:w="11910" w:h="16840"/>
          <w:pgMar w:footer="863" w:header="0" w:top="1040" w:bottom="1060" w:left="740" w:right="580"/>
          <w:pgNumType w:start="2"/>
        </w:sectPr>
      </w:pPr>
    </w:p>
    <w:p>
      <w:pPr>
        <w:spacing w:before="76"/>
        <w:ind w:left="392" w:right="0" w:firstLine="0"/>
        <w:jc w:val="left"/>
        <w:rPr>
          <w:sz w:val="26"/>
        </w:rPr>
      </w:pPr>
      <w:r>
        <w:rPr>
          <w:color w:val="365E90"/>
          <w:w w:val="120"/>
          <w:sz w:val="26"/>
        </w:rPr>
        <w:t>Contents</w:t>
      </w:r>
    </w:p>
    <w:p>
      <w:pPr>
        <w:spacing w:after="0"/>
        <w:jc w:val="left"/>
        <w:rPr>
          <w:sz w:val="26"/>
        </w:rPr>
        <w:sectPr>
          <w:pgSz w:w="11910" w:h="16840"/>
          <w:pgMar w:header="0" w:footer="863" w:top="1040" w:bottom="1239" w:left="740" w:right="580"/>
        </w:sectPr>
      </w:pPr>
    </w:p>
    <w:sdt>
      <w:sdtPr>
        <w:docPartObj>
          <w:docPartGallery w:val="Table of Contents"/>
          <w:docPartUnique/>
        </w:docPartObj>
      </w:sdtPr>
      <w:sdtEndPr/>
      <w:sdtContent>
        <w:p>
          <w:pPr>
            <w:pStyle w:val="TOC2"/>
            <w:tabs>
              <w:tab w:pos="10030" w:val="right" w:leader="none"/>
            </w:tabs>
            <w:spacing w:before="285"/>
            <w:rPr>
              <w:sz w:val="18"/>
            </w:rPr>
          </w:pPr>
          <w:hyperlink w:history="true" w:anchor="_TOC_250047">
            <w:r>
              <w:rPr>
                <w:w w:val="110"/>
              </w:rPr>
              <w:t>Changes</w:t>
            </w:r>
            <w:r>
              <w:rPr>
                <w:spacing w:val="-8"/>
                <w:w w:val="110"/>
              </w:rPr>
              <w:t> </w:t>
            </w:r>
            <w:r>
              <w:rPr>
                <w:w w:val="110"/>
              </w:rPr>
              <w:t>to</w:t>
            </w:r>
            <w:r>
              <w:rPr>
                <w:spacing w:val="-6"/>
                <w:w w:val="110"/>
              </w:rPr>
              <w:t> </w:t>
            </w:r>
            <w:r>
              <w:rPr>
                <w:w w:val="110"/>
              </w:rPr>
              <w:t>the</w:t>
            </w:r>
            <w:r>
              <w:rPr>
                <w:spacing w:val="-7"/>
                <w:w w:val="110"/>
              </w:rPr>
              <w:t> </w:t>
            </w:r>
            <w:r>
              <w:rPr>
                <w:w w:val="110"/>
              </w:rPr>
              <w:t>guide</w:t>
            </w:r>
            <w:r>
              <w:rPr>
                <w:spacing w:val="-6"/>
                <w:w w:val="110"/>
              </w:rPr>
              <w:t> </w:t>
            </w:r>
            <w:r>
              <w:rPr>
                <w:w w:val="110"/>
              </w:rPr>
              <w:t>notes</w:t>
            </w:r>
            <w:r>
              <w:rPr>
                <w:spacing w:val="-7"/>
                <w:w w:val="110"/>
              </w:rPr>
              <w:t> </w:t>
            </w:r>
            <w:r>
              <w:rPr>
                <w:w w:val="110"/>
              </w:rPr>
              <w:t>and</w:t>
            </w:r>
            <w:r>
              <w:rPr>
                <w:spacing w:val="-7"/>
                <w:w w:val="110"/>
              </w:rPr>
              <w:t> </w:t>
            </w:r>
            <w:r>
              <w:rPr>
                <w:w w:val="110"/>
              </w:rPr>
              <w:t>instructions</w:t>
            </w:r>
            <w:r>
              <w:rPr>
                <w:spacing w:val="-6"/>
                <w:w w:val="110"/>
              </w:rPr>
              <w:t> </w:t>
            </w:r>
            <w:r>
              <w:rPr>
                <w:w w:val="110"/>
              </w:rPr>
              <w:t>made</w:t>
            </w:r>
            <w:r>
              <w:rPr>
                <w:spacing w:val="-5"/>
                <w:w w:val="110"/>
              </w:rPr>
              <w:t> </w:t>
            </w:r>
            <w:r>
              <w:rPr>
                <w:w w:val="110"/>
              </w:rPr>
              <w:t>in</w:t>
            </w:r>
            <w:r>
              <w:rPr>
                <w:spacing w:val="-7"/>
                <w:w w:val="110"/>
              </w:rPr>
              <w:t> </w:t>
            </w:r>
            <w:r>
              <w:rPr>
                <w:w w:val="110"/>
              </w:rPr>
              <w:t>recent</w:t>
            </w:r>
            <w:r>
              <w:rPr>
                <w:spacing w:val="-6"/>
                <w:w w:val="110"/>
              </w:rPr>
              <w:t> </w:t>
            </w:r>
            <w:r>
              <w:rPr>
                <w:w w:val="110"/>
              </w:rPr>
              <w:t>years</w:t>
              <w:tab/>
            </w:r>
            <w:r>
              <w:rPr>
                <w:w w:val="110"/>
                <w:sz w:val="18"/>
              </w:rPr>
              <w:t>5</w:t>
            </w:r>
          </w:hyperlink>
        </w:p>
        <w:p>
          <w:pPr>
            <w:pStyle w:val="TOC1"/>
            <w:tabs>
              <w:tab w:pos="10020" w:val="right" w:leader="dot"/>
            </w:tabs>
            <w:rPr>
              <w:sz w:val="18"/>
            </w:rPr>
          </w:pPr>
          <w:hyperlink w:history="true" w:anchor="_TOC_250046">
            <w:r>
              <w:rPr/>
              <w:t>GENERAL INFORMATION FOR</w:t>
            </w:r>
            <w:r>
              <w:rPr>
                <w:spacing w:val="-2"/>
              </w:rPr>
              <w:t> </w:t>
            </w:r>
            <w:r>
              <w:rPr/>
              <w:t>ALL</w:t>
            </w:r>
            <w:r>
              <w:rPr>
                <w:spacing w:val="-1"/>
              </w:rPr>
              <w:t> </w:t>
            </w:r>
            <w:r>
              <w:rPr/>
              <w:t>MARKERS</w:t>
              <w:tab/>
            </w:r>
            <w:r>
              <w:rPr>
                <w:sz w:val="18"/>
              </w:rPr>
              <w:t>6</w:t>
            </w:r>
          </w:hyperlink>
        </w:p>
        <w:p>
          <w:pPr>
            <w:pStyle w:val="TOC2"/>
            <w:tabs>
              <w:tab w:pos="10030" w:val="right" w:leader="none"/>
            </w:tabs>
            <w:spacing w:before="238"/>
            <w:rPr>
              <w:sz w:val="18"/>
            </w:rPr>
          </w:pPr>
          <w:hyperlink w:history="true" w:anchor="_TOC_250045">
            <w:r>
              <w:rPr>
                <w:w w:val="105"/>
              </w:rPr>
              <w:t>Portfolio</w:t>
            </w:r>
            <w:r>
              <w:rPr>
                <w:spacing w:val="-2"/>
                <w:w w:val="105"/>
              </w:rPr>
              <w:t> </w:t>
            </w:r>
            <w:r>
              <w:rPr>
                <w:w w:val="105"/>
              </w:rPr>
              <w:t>submission</w:t>
            </w:r>
            <w:r>
              <w:rPr>
                <w:spacing w:val="-2"/>
                <w:w w:val="105"/>
              </w:rPr>
              <w:t> </w:t>
            </w:r>
            <w:r>
              <w:rPr>
                <w:w w:val="105"/>
              </w:rPr>
              <w:t>date</w:t>
              <w:tab/>
            </w:r>
            <w:r>
              <w:rPr>
                <w:w w:val="105"/>
                <w:sz w:val="18"/>
              </w:rPr>
              <w:t>6</w:t>
            </w:r>
          </w:hyperlink>
        </w:p>
        <w:p>
          <w:pPr>
            <w:pStyle w:val="TOC2"/>
            <w:tabs>
              <w:tab w:pos="10030" w:val="right" w:leader="none"/>
            </w:tabs>
            <w:rPr>
              <w:sz w:val="18"/>
            </w:rPr>
          </w:pPr>
          <w:hyperlink w:history="true" w:anchor="_TOC_250044">
            <w:r>
              <w:rPr>
                <w:w w:val="105"/>
              </w:rPr>
              <w:t>Marker</w:t>
            </w:r>
            <w:r>
              <w:rPr>
                <w:spacing w:val="-4"/>
                <w:w w:val="105"/>
              </w:rPr>
              <w:t> </w:t>
            </w:r>
            <w:r>
              <w:rPr>
                <w:w w:val="105"/>
              </w:rPr>
              <w:t>responsibilities</w:t>
              <w:tab/>
            </w:r>
            <w:r>
              <w:rPr>
                <w:w w:val="105"/>
                <w:sz w:val="18"/>
              </w:rPr>
              <w:t>6</w:t>
            </w:r>
          </w:hyperlink>
        </w:p>
        <w:p>
          <w:pPr>
            <w:pStyle w:val="TOC2"/>
            <w:tabs>
              <w:tab w:pos="10029" w:val="right" w:leader="none"/>
            </w:tabs>
            <w:rPr>
              <w:sz w:val="18"/>
            </w:rPr>
          </w:pPr>
          <w:hyperlink w:history="true" w:anchor="_TOC_250043">
            <w:r>
              <w:rPr>
                <w:w w:val="110"/>
              </w:rPr>
              <w:t>Marking</w:t>
            </w:r>
            <w:r>
              <w:rPr>
                <w:spacing w:val="-5"/>
                <w:w w:val="110"/>
              </w:rPr>
              <w:t> </w:t>
            </w:r>
            <w:r>
              <w:rPr>
                <w:w w:val="110"/>
              </w:rPr>
              <w:t>calendar</w:t>
              <w:tab/>
            </w:r>
            <w:r>
              <w:rPr>
                <w:w w:val="110"/>
                <w:sz w:val="18"/>
              </w:rPr>
              <w:t>7</w:t>
            </w:r>
          </w:hyperlink>
        </w:p>
        <w:p>
          <w:pPr>
            <w:pStyle w:val="TOC1"/>
            <w:tabs>
              <w:tab w:pos="10020" w:val="right" w:leader="dot"/>
            </w:tabs>
            <w:rPr>
              <w:sz w:val="18"/>
            </w:rPr>
          </w:pPr>
          <w:hyperlink w:history="true" w:anchor="_TOC_250042">
            <w:r>
              <w:rPr/>
              <w:t>BEFORE</w:t>
            </w:r>
            <w:r>
              <w:rPr>
                <w:spacing w:val="1"/>
              </w:rPr>
              <w:t> </w:t>
            </w:r>
            <w:r>
              <w:rPr/>
              <w:t>MARKING</w:t>
              <w:tab/>
            </w:r>
            <w:r>
              <w:rPr>
                <w:sz w:val="18"/>
              </w:rPr>
              <w:t>8</w:t>
            </w:r>
          </w:hyperlink>
        </w:p>
        <w:p>
          <w:pPr>
            <w:pStyle w:val="TOC2"/>
            <w:tabs>
              <w:tab w:pos="10030" w:val="right" w:leader="none"/>
            </w:tabs>
            <w:rPr>
              <w:sz w:val="18"/>
            </w:rPr>
          </w:pPr>
          <w:r>
            <w:rPr>
              <w:w w:val="110"/>
            </w:rPr>
            <w:t>Enter</w:t>
          </w:r>
          <w:r>
            <w:rPr>
              <w:spacing w:val="-5"/>
              <w:w w:val="110"/>
            </w:rPr>
            <w:t> </w:t>
          </w:r>
          <w:r>
            <w:rPr>
              <w:w w:val="110"/>
            </w:rPr>
            <w:t>address</w:t>
          </w:r>
          <w:r>
            <w:rPr>
              <w:spacing w:val="-7"/>
              <w:w w:val="110"/>
            </w:rPr>
            <w:t> </w:t>
          </w:r>
          <w:r>
            <w:rPr>
              <w:w w:val="110"/>
            </w:rPr>
            <w:t>information</w:t>
            <w:tab/>
          </w:r>
          <w:r>
            <w:rPr>
              <w:w w:val="110"/>
              <w:sz w:val="18"/>
            </w:rPr>
            <w:t>8</w:t>
          </w:r>
        </w:p>
        <w:p>
          <w:pPr>
            <w:pStyle w:val="TOC2"/>
            <w:tabs>
              <w:tab w:pos="10032" w:val="right" w:leader="none"/>
            </w:tabs>
            <w:spacing w:before="238"/>
            <w:rPr>
              <w:sz w:val="18"/>
            </w:rPr>
          </w:pPr>
          <w:hyperlink w:history="true" w:anchor="_TOC_250041">
            <w:r>
              <w:rPr>
                <w:w w:val="105"/>
              </w:rPr>
              <w:t>Logging into your marking</w:t>
            </w:r>
            <w:r>
              <w:rPr>
                <w:spacing w:val="-6"/>
                <w:w w:val="105"/>
              </w:rPr>
              <w:t> </w:t>
            </w:r>
            <w:r>
              <w:rPr>
                <w:w w:val="105"/>
              </w:rPr>
              <w:t>home</w:t>
            </w:r>
            <w:r>
              <w:rPr>
                <w:spacing w:val="-1"/>
                <w:w w:val="105"/>
              </w:rPr>
              <w:t> </w:t>
            </w:r>
            <w:r>
              <w:rPr>
                <w:w w:val="105"/>
              </w:rPr>
              <w:t>page</w:t>
              <w:tab/>
            </w:r>
            <w:r>
              <w:rPr>
                <w:w w:val="105"/>
                <w:sz w:val="18"/>
              </w:rPr>
              <w:t>10</w:t>
            </w:r>
          </w:hyperlink>
        </w:p>
        <w:p>
          <w:pPr>
            <w:pStyle w:val="TOC2"/>
            <w:tabs>
              <w:tab w:pos="10033" w:val="right" w:leader="none"/>
            </w:tabs>
            <w:spacing w:before="241"/>
            <w:rPr>
              <w:sz w:val="18"/>
            </w:rPr>
          </w:pPr>
          <w:hyperlink w:history="true" w:anchor="_TOC_250040">
            <w:r>
              <w:rPr>
                <w:w w:val="110"/>
              </w:rPr>
              <w:t>Pre-approval process for travel over</w:t>
            </w:r>
            <w:r>
              <w:rPr>
                <w:spacing w:val="-32"/>
                <w:w w:val="110"/>
              </w:rPr>
              <w:t> </w:t>
            </w:r>
            <w:r>
              <w:rPr>
                <w:w w:val="110"/>
              </w:rPr>
              <w:t>100</w:t>
            </w:r>
            <w:r>
              <w:rPr>
                <w:spacing w:val="-5"/>
                <w:w w:val="110"/>
              </w:rPr>
              <w:t> </w:t>
            </w:r>
            <w:r>
              <w:rPr>
                <w:w w:val="110"/>
              </w:rPr>
              <w:t>km</w:t>
              <w:tab/>
            </w:r>
            <w:r>
              <w:rPr>
                <w:w w:val="110"/>
                <w:sz w:val="18"/>
              </w:rPr>
              <w:t>10</w:t>
            </w:r>
          </w:hyperlink>
        </w:p>
        <w:p>
          <w:pPr>
            <w:pStyle w:val="TOC2"/>
            <w:tabs>
              <w:tab w:pos="10032" w:val="right" w:leader="none"/>
            </w:tabs>
            <w:rPr>
              <w:sz w:val="18"/>
            </w:rPr>
          </w:pPr>
          <w:hyperlink w:history="true" w:anchor="_TOC_250039">
            <w:r>
              <w:rPr>
                <w:w w:val="110"/>
              </w:rPr>
              <w:t>Marker</w:t>
            </w:r>
            <w:r>
              <w:rPr>
                <w:spacing w:val="-7"/>
                <w:w w:val="110"/>
              </w:rPr>
              <w:t> </w:t>
            </w:r>
            <w:r>
              <w:rPr>
                <w:w w:val="110"/>
              </w:rPr>
              <w:t>pack</w:t>
              <w:tab/>
            </w:r>
            <w:r>
              <w:rPr>
                <w:w w:val="110"/>
                <w:sz w:val="18"/>
              </w:rPr>
              <w:t>10</w:t>
            </w:r>
          </w:hyperlink>
        </w:p>
        <w:p>
          <w:pPr>
            <w:pStyle w:val="TOC1"/>
            <w:tabs>
              <w:tab w:pos="10023" w:val="right" w:leader="dot"/>
            </w:tabs>
            <w:rPr>
              <w:sz w:val="18"/>
            </w:rPr>
          </w:pPr>
          <w:hyperlink w:history="true" w:anchor="_TOC_250038">
            <w:r>
              <w:rPr/>
              <w:t>DURING</w:t>
            </w:r>
            <w:r>
              <w:rPr>
                <w:spacing w:val="1"/>
              </w:rPr>
              <w:t> </w:t>
            </w:r>
            <w:r>
              <w:rPr/>
              <w:t>MARKING</w:t>
              <w:tab/>
            </w:r>
            <w:r>
              <w:rPr>
                <w:sz w:val="18"/>
              </w:rPr>
              <w:t>11</w:t>
            </w:r>
          </w:hyperlink>
        </w:p>
        <w:p>
          <w:pPr>
            <w:pStyle w:val="TOC2"/>
            <w:tabs>
              <w:tab w:pos="10032" w:val="right" w:leader="none"/>
            </w:tabs>
            <w:rPr>
              <w:sz w:val="18"/>
            </w:rPr>
          </w:pPr>
          <w:hyperlink w:history="true" w:anchor="_TOC_250037">
            <w:r>
              <w:rPr>
                <w:w w:val="105"/>
              </w:rPr>
              <w:t>Receiving</w:t>
            </w:r>
            <w:r>
              <w:rPr>
                <w:spacing w:val="-2"/>
                <w:w w:val="105"/>
              </w:rPr>
              <w:t> </w:t>
            </w:r>
            <w:r>
              <w:rPr>
                <w:w w:val="105"/>
              </w:rPr>
              <w:t>portfolios</w:t>
              <w:tab/>
            </w:r>
            <w:r>
              <w:rPr>
                <w:w w:val="105"/>
                <w:sz w:val="18"/>
              </w:rPr>
              <w:t>11</w:t>
            </w:r>
          </w:hyperlink>
        </w:p>
        <w:p>
          <w:pPr>
            <w:pStyle w:val="TOC2"/>
            <w:tabs>
              <w:tab w:pos="10033" w:val="right" w:leader="none"/>
            </w:tabs>
            <w:spacing w:before="238"/>
            <w:rPr>
              <w:sz w:val="18"/>
            </w:rPr>
          </w:pPr>
          <w:hyperlink w:history="true" w:anchor="_TOC_250036">
            <w:r>
              <w:rPr>
                <w:w w:val="105"/>
              </w:rPr>
              <w:t>Identifying</w:t>
            </w:r>
            <w:r>
              <w:rPr>
                <w:spacing w:val="-2"/>
                <w:w w:val="105"/>
              </w:rPr>
              <w:t> </w:t>
            </w:r>
            <w:r>
              <w:rPr>
                <w:w w:val="105"/>
              </w:rPr>
              <w:t>portfolios</w:t>
              <w:tab/>
            </w:r>
            <w:r>
              <w:rPr>
                <w:w w:val="105"/>
                <w:sz w:val="18"/>
              </w:rPr>
              <w:t>12</w:t>
            </w:r>
          </w:hyperlink>
        </w:p>
        <w:p>
          <w:pPr>
            <w:pStyle w:val="TOC2"/>
            <w:tabs>
              <w:tab w:pos="10031" w:val="right" w:leader="none"/>
            </w:tabs>
            <w:rPr>
              <w:sz w:val="18"/>
            </w:rPr>
          </w:pPr>
          <w:hyperlink w:history="true" w:anchor="_TOC_250035">
            <w:r>
              <w:rPr>
                <w:w w:val="105"/>
              </w:rPr>
              <w:t>Panel</w:t>
            </w:r>
            <w:r>
              <w:rPr>
                <w:spacing w:val="-2"/>
                <w:w w:val="105"/>
              </w:rPr>
              <w:t> </w:t>
            </w:r>
            <w:r>
              <w:rPr>
                <w:w w:val="105"/>
              </w:rPr>
              <w:t>meeting</w:t>
              <w:tab/>
            </w:r>
            <w:r>
              <w:rPr>
                <w:w w:val="105"/>
                <w:sz w:val="18"/>
              </w:rPr>
              <w:t>13</w:t>
            </w:r>
          </w:hyperlink>
        </w:p>
        <w:p>
          <w:pPr>
            <w:pStyle w:val="TOC2"/>
            <w:tabs>
              <w:tab w:pos="10033" w:val="right" w:leader="none"/>
            </w:tabs>
            <w:spacing w:before="241"/>
            <w:rPr>
              <w:sz w:val="18"/>
            </w:rPr>
          </w:pPr>
          <w:hyperlink w:history="true" w:anchor="_TOC_250034">
            <w:r>
              <w:rPr/>
              <w:t>Assessment</w:t>
            </w:r>
            <w:r>
              <w:rPr>
                <w:spacing w:val="1"/>
              </w:rPr>
              <w:t> </w:t>
            </w:r>
            <w:r>
              <w:rPr/>
              <w:t>decisions</w:t>
              <w:tab/>
            </w:r>
            <w:r>
              <w:rPr>
                <w:sz w:val="18"/>
              </w:rPr>
              <w:t>13</w:t>
            </w:r>
          </w:hyperlink>
        </w:p>
        <w:p>
          <w:pPr>
            <w:pStyle w:val="TOC2"/>
            <w:tabs>
              <w:tab w:pos="10033" w:val="right" w:leader="none"/>
            </w:tabs>
            <w:rPr>
              <w:sz w:val="18"/>
            </w:rPr>
          </w:pPr>
          <w:hyperlink w:history="true" w:anchor="_TOC_250033">
            <w:r>
              <w:rPr>
                <w:w w:val="105"/>
              </w:rPr>
              <w:t>Marking</w:t>
            </w:r>
            <w:r>
              <w:rPr>
                <w:spacing w:val="-2"/>
                <w:w w:val="105"/>
              </w:rPr>
              <w:t> </w:t>
            </w:r>
            <w:r>
              <w:rPr>
                <w:w w:val="105"/>
              </w:rPr>
              <w:t>practices</w:t>
              <w:tab/>
            </w:r>
            <w:r>
              <w:rPr>
                <w:w w:val="105"/>
                <w:sz w:val="18"/>
              </w:rPr>
              <w:t>14</w:t>
            </w:r>
          </w:hyperlink>
        </w:p>
        <w:p>
          <w:pPr>
            <w:pStyle w:val="TOC2"/>
            <w:tabs>
              <w:tab w:pos="10032" w:val="right" w:leader="none"/>
            </w:tabs>
            <w:spacing w:before="241"/>
            <w:rPr>
              <w:sz w:val="18"/>
            </w:rPr>
          </w:pPr>
          <w:hyperlink w:history="true" w:anchor="_TOC_250032">
            <w:r>
              <w:rPr>
                <w:w w:val="105"/>
              </w:rPr>
              <w:t>Portfolio</w:t>
            </w:r>
            <w:r>
              <w:rPr>
                <w:spacing w:val="-2"/>
                <w:w w:val="105"/>
              </w:rPr>
              <w:t> </w:t>
            </w:r>
            <w:r>
              <w:rPr>
                <w:w w:val="105"/>
              </w:rPr>
              <w:t>management</w:t>
              <w:tab/>
            </w:r>
            <w:r>
              <w:rPr>
                <w:w w:val="105"/>
                <w:sz w:val="18"/>
              </w:rPr>
              <w:t>15</w:t>
            </w:r>
          </w:hyperlink>
        </w:p>
        <w:p>
          <w:pPr>
            <w:pStyle w:val="TOC2"/>
            <w:tabs>
              <w:tab w:pos="10032" w:val="right" w:leader="none"/>
            </w:tabs>
            <w:rPr>
              <w:sz w:val="18"/>
            </w:rPr>
          </w:pPr>
          <w:hyperlink w:history="true" w:anchor="_TOC_250031">
            <w:r>
              <w:rPr>
                <w:w w:val="110"/>
              </w:rPr>
              <w:t>Test</w:t>
            </w:r>
            <w:r>
              <w:rPr>
                <w:spacing w:val="-1"/>
                <w:w w:val="110"/>
              </w:rPr>
              <w:t> </w:t>
            </w:r>
            <w:r>
              <w:rPr>
                <w:w w:val="110"/>
              </w:rPr>
              <w:t>marking</w:t>
              <w:tab/>
            </w:r>
            <w:r>
              <w:rPr>
                <w:w w:val="110"/>
                <w:sz w:val="18"/>
              </w:rPr>
              <w:t>15</w:t>
            </w:r>
          </w:hyperlink>
        </w:p>
        <w:p>
          <w:pPr>
            <w:pStyle w:val="TOC2"/>
            <w:tabs>
              <w:tab w:pos="10031" w:val="right" w:leader="none"/>
            </w:tabs>
            <w:spacing w:before="238"/>
            <w:rPr>
              <w:sz w:val="18"/>
            </w:rPr>
          </w:pPr>
          <w:hyperlink w:history="true" w:anchor="_TOC_250030">
            <w:r>
              <w:rPr>
                <w:w w:val="105"/>
              </w:rPr>
              <w:t>Check</w:t>
            </w:r>
            <w:r>
              <w:rPr>
                <w:spacing w:val="-3"/>
                <w:w w:val="105"/>
              </w:rPr>
              <w:t> </w:t>
            </w:r>
            <w:r>
              <w:rPr>
                <w:w w:val="105"/>
              </w:rPr>
              <w:t>marking</w:t>
              <w:tab/>
            </w:r>
            <w:r>
              <w:rPr>
                <w:w w:val="105"/>
                <w:sz w:val="18"/>
              </w:rPr>
              <w:t>15</w:t>
            </w:r>
          </w:hyperlink>
        </w:p>
        <w:p>
          <w:pPr>
            <w:pStyle w:val="TOC2"/>
            <w:tabs>
              <w:tab w:pos="10032" w:val="right" w:leader="none"/>
            </w:tabs>
            <w:spacing w:before="241"/>
            <w:rPr>
              <w:sz w:val="18"/>
            </w:rPr>
          </w:pPr>
          <w:hyperlink w:history="true" w:anchor="_TOC_250029">
            <w:r>
              <w:rPr>
                <w:w w:val="105"/>
              </w:rPr>
              <w:t>Courier</w:t>
            </w:r>
            <w:r>
              <w:rPr>
                <w:spacing w:val="-2"/>
                <w:w w:val="105"/>
              </w:rPr>
              <w:t> </w:t>
            </w:r>
            <w:r>
              <w:rPr>
                <w:w w:val="105"/>
              </w:rPr>
              <w:t>bookings</w:t>
              <w:tab/>
            </w:r>
            <w:r>
              <w:rPr>
                <w:w w:val="105"/>
                <w:sz w:val="18"/>
              </w:rPr>
              <w:t>17</w:t>
            </w:r>
          </w:hyperlink>
        </w:p>
        <w:p>
          <w:pPr>
            <w:pStyle w:val="TOC2"/>
            <w:tabs>
              <w:tab w:pos="10033" w:val="right" w:leader="none"/>
            </w:tabs>
            <w:rPr>
              <w:sz w:val="18"/>
            </w:rPr>
          </w:pPr>
          <w:hyperlink w:history="true" w:anchor="_TOC_250028">
            <w:r>
              <w:rPr>
                <w:w w:val="105"/>
              </w:rPr>
              <w:t>Marking</w:t>
            </w:r>
            <w:r>
              <w:rPr>
                <w:spacing w:val="-2"/>
                <w:w w:val="105"/>
              </w:rPr>
              <w:t> </w:t>
            </w:r>
            <w:r>
              <w:rPr>
                <w:w w:val="105"/>
              </w:rPr>
              <w:t>home</w:t>
            </w:r>
            <w:r>
              <w:rPr>
                <w:spacing w:val="-1"/>
                <w:w w:val="105"/>
              </w:rPr>
              <w:t> </w:t>
            </w:r>
            <w:r>
              <w:rPr>
                <w:w w:val="105"/>
              </w:rPr>
              <w:t>page</w:t>
              <w:tab/>
            </w:r>
            <w:r>
              <w:rPr>
                <w:w w:val="105"/>
                <w:sz w:val="18"/>
              </w:rPr>
              <w:t>18</w:t>
            </w:r>
          </w:hyperlink>
        </w:p>
        <w:p>
          <w:pPr>
            <w:pStyle w:val="TOC2"/>
            <w:tabs>
              <w:tab w:pos="10031" w:val="right" w:leader="none"/>
            </w:tabs>
            <w:rPr>
              <w:sz w:val="18"/>
            </w:rPr>
          </w:pPr>
          <w:hyperlink w:history="true" w:anchor="_TOC_250027">
            <w:r>
              <w:rPr>
                <w:w w:val="105"/>
              </w:rPr>
              <w:t>Marking</w:t>
            </w:r>
            <w:r>
              <w:rPr>
                <w:spacing w:val="-2"/>
                <w:w w:val="105"/>
              </w:rPr>
              <w:t> </w:t>
            </w:r>
            <w:r>
              <w:rPr>
                <w:w w:val="105"/>
              </w:rPr>
              <w:t>pages</w:t>
              <w:tab/>
            </w:r>
            <w:r>
              <w:rPr>
                <w:w w:val="105"/>
                <w:sz w:val="18"/>
              </w:rPr>
              <w:t>19</w:t>
            </w:r>
          </w:hyperlink>
        </w:p>
        <w:p>
          <w:pPr>
            <w:pStyle w:val="TOC2"/>
            <w:tabs>
              <w:tab w:pos="10032" w:val="right" w:leader="none"/>
            </w:tabs>
            <w:spacing w:before="241"/>
            <w:rPr>
              <w:sz w:val="18"/>
            </w:rPr>
          </w:pPr>
          <w:hyperlink w:history="true" w:anchor="_TOC_250026">
            <w:r>
              <w:rPr>
                <w:w w:val="105"/>
              </w:rPr>
              <w:t>View</w:t>
            </w:r>
            <w:r>
              <w:rPr>
                <w:spacing w:val="-2"/>
                <w:w w:val="105"/>
              </w:rPr>
              <w:t> </w:t>
            </w:r>
            <w:r>
              <w:rPr>
                <w:w w:val="105"/>
              </w:rPr>
              <w:t>your</w:t>
            </w:r>
            <w:r>
              <w:rPr>
                <w:spacing w:val="-2"/>
                <w:w w:val="105"/>
              </w:rPr>
              <w:t> </w:t>
            </w:r>
            <w:r>
              <w:rPr>
                <w:w w:val="105"/>
              </w:rPr>
              <w:t>details</w:t>
              <w:tab/>
            </w:r>
            <w:r>
              <w:rPr>
                <w:w w:val="105"/>
                <w:sz w:val="18"/>
              </w:rPr>
              <w:t>20</w:t>
            </w:r>
          </w:hyperlink>
        </w:p>
        <w:p>
          <w:pPr>
            <w:pStyle w:val="TOC3"/>
            <w:tabs>
              <w:tab w:pos="10032" w:val="right" w:leader="none"/>
            </w:tabs>
            <w:rPr>
              <w:b w:val="0"/>
              <w:i w:val="0"/>
              <w:sz w:val="18"/>
            </w:rPr>
          </w:pPr>
          <w:hyperlink w:history="true" w:anchor="_TOC_250025">
            <w:r>
              <w:rPr>
                <w:b w:val="0"/>
                <w:i w:val="0"/>
                <w:w w:val="105"/>
                <w:sz w:val="20"/>
              </w:rPr>
              <w:t>Forms</w:t>
              <w:tab/>
            </w:r>
            <w:r>
              <w:rPr>
                <w:b w:val="0"/>
                <w:i w:val="0"/>
                <w:w w:val="105"/>
                <w:sz w:val="18"/>
              </w:rPr>
              <w:t>20</w:t>
            </w:r>
          </w:hyperlink>
        </w:p>
        <w:p>
          <w:pPr>
            <w:pStyle w:val="TOC2"/>
            <w:tabs>
              <w:tab w:pos="10032" w:val="right" w:leader="none"/>
            </w:tabs>
            <w:spacing w:before="238"/>
            <w:rPr>
              <w:sz w:val="18"/>
            </w:rPr>
          </w:pPr>
          <w:hyperlink w:history="true" w:anchor="_TOC_250024">
            <w:r>
              <w:rPr>
                <w:w w:val="110"/>
              </w:rPr>
              <w:t>Entering</w:t>
            </w:r>
            <w:r>
              <w:rPr>
                <w:spacing w:val="-5"/>
                <w:w w:val="110"/>
              </w:rPr>
              <w:t> </w:t>
            </w:r>
            <w:r>
              <w:rPr>
                <w:w w:val="110"/>
              </w:rPr>
              <w:t>results</w:t>
              <w:tab/>
            </w:r>
            <w:r>
              <w:rPr>
                <w:w w:val="110"/>
                <w:sz w:val="18"/>
              </w:rPr>
              <w:t>20</w:t>
            </w:r>
          </w:hyperlink>
        </w:p>
        <w:p>
          <w:pPr>
            <w:pStyle w:val="TOC2"/>
            <w:tabs>
              <w:tab w:pos="10032" w:val="right" w:leader="none"/>
            </w:tabs>
            <w:spacing w:before="241"/>
            <w:rPr>
              <w:sz w:val="18"/>
            </w:rPr>
          </w:pPr>
          <w:hyperlink w:history="true" w:anchor="_TOC_250023">
            <w:r>
              <w:rPr>
                <w:w w:val="105"/>
              </w:rPr>
              <w:t>Portfolios requested</w:t>
            </w:r>
            <w:r>
              <w:rPr>
                <w:spacing w:val="-7"/>
                <w:w w:val="105"/>
              </w:rPr>
              <w:t> </w:t>
            </w:r>
            <w:r>
              <w:rPr>
                <w:w w:val="105"/>
              </w:rPr>
              <w:t>by</w:t>
            </w:r>
            <w:r>
              <w:rPr>
                <w:spacing w:val="-2"/>
                <w:w w:val="105"/>
              </w:rPr>
              <w:t> </w:t>
            </w:r>
            <w:r>
              <w:rPr>
                <w:w w:val="105"/>
              </w:rPr>
              <w:t>NZQA</w:t>
              <w:tab/>
            </w:r>
            <w:r>
              <w:rPr>
                <w:w w:val="105"/>
                <w:sz w:val="18"/>
              </w:rPr>
              <w:t>22</w:t>
            </w:r>
          </w:hyperlink>
        </w:p>
        <w:p>
          <w:pPr>
            <w:pStyle w:val="TOC2"/>
            <w:tabs>
              <w:tab w:pos="10032" w:val="right" w:leader="none"/>
            </w:tabs>
            <w:rPr>
              <w:sz w:val="18"/>
            </w:rPr>
          </w:pPr>
          <w:hyperlink w:history="true" w:anchor="_TOC_250022">
            <w:r>
              <w:rPr>
                <w:w w:val="110"/>
              </w:rPr>
              <w:t>Search</w:t>
            </w:r>
            <w:r>
              <w:rPr>
                <w:spacing w:val="-6"/>
                <w:w w:val="110"/>
              </w:rPr>
              <w:t> </w:t>
            </w:r>
            <w:r>
              <w:rPr>
                <w:w w:val="110"/>
              </w:rPr>
              <w:t>for</w:t>
            </w:r>
            <w:r>
              <w:rPr>
                <w:spacing w:val="-6"/>
                <w:w w:val="110"/>
              </w:rPr>
              <w:t> </w:t>
            </w:r>
            <w:r>
              <w:rPr>
                <w:w w:val="110"/>
              </w:rPr>
              <w:t>Candidate</w:t>
              <w:tab/>
            </w:r>
            <w:r>
              <w:rPr>
                <w:w w:val="110"/>
                <w:sz w:val="18"/>
              </w:rPr>
              <w:t>22</w:t>
            </w:r>
          </w:hyperlink>
        </w:p>
        <w:p>
          <w:pPr>
            <w:pStyle w:val="TOC2"/>
            <w:tabs>
              <w:tab w:pos="10032" w:val="right" w:leader="none"/>
            </w:tabs>
            <w:spacing w:before="241"/>
            <w:rPr>
              <w:sz w:val="18"/>
            </w:rPr>
          </w:pPr>
          <w:hyperlink w:history="true" w:anchor="_TOC_250021">
            <w:r>
              <w:rPr>
                <w:w w:val="105"/>
              </w:rPr>
              <w:t>AFTER</w:t>
            </w:r>
            <w:r>
              <w:rPr>
                <w:spacing w:val="-4"/>
                <w:w w:val="105"/>
              </w:rPr>
              <w:t> </w:t>
            </w:r>
            <w:r>
              <w:rPr>
                <w:w w:val="105"/>
              </w:rPr>
              <w:t>MARKING</w:t>
              <w:tab/>
            </w:r>
            <w:r>
              <w:rPr>
                <w:w w:val="105"/>
                <w:sz w:val="18"/>
              </w:rPr>
              <w:t>24</w:t>
            </w:r>
          </w:hyperlink>
        </w:p>
        <w:p>
          <w:pPr>
            <w:pStyle w:val="TOC2"/>
            <w:tabs>
              <w:tab w:pos="10032" w:val="right" w:leader="none"/>
            </w:tabs>
            <w:rPr>
              <w:sz w:val="18"/>
            </w:rPr>
          </w:pPr>
          <w:r>
            <w:rPr>
              <w:w w:val="115"/>
            </w:rPr>
            <w:t>Marker</w:t>
          </w:r>
          <w:r>
            <w:rPr>
              <w:spacing w:val="-9"/>
              <w:w w:val="115"/>
            </w:rPr>
            <w:t> </w:t>
          </w:r>
          <w:r>
            <w:rPr>
              <w:w w:val="115"/>
            </w:rPr>
            <w:t>report</w:t>
            <w:tab/>
          </w:r>
          <w:r>
            <w:rPr>
              <w:w w:val="115"/>
              <w:sz w:val="18"/>
            </w:rPr>
            <w:t>24</w:t>
          </w:r>
        </w:p>
        <w:p>
          <w:pPr>
            <w:pStyle w:val="TOC2"/>
            <w:tabs>
              <w:tab w:pos="10033" w:val="right" w:leader="none"/>
            </w:tabs>
            <w:spacing w:after="20"/>
            <w:rPr>
              <w:sz w:val="18"/>
            </w:rPr>
          </w:pPr>
          <w:r>
            <w:rPr>
              <w:w w:val="105"/>
            </w:rPr>
            <w:t>Marking</w:t>
          </w:r>
          <w:r>
            <w:rPr>
              <w:spacing w:val="-2"/>
              <w:w w:val="105"/>
            </w:rPr>
            <w:t> </w:t>
          </w:r>
          <w:r>
            <w:rPr>
              <w:w w:val="105"/>
            </w:rPr>
            <w:t>evaluation</w:t>
            <w:tab/>
          </w:r>
          <w:r>
            <w:rPr>
              <w:w w:val="105"/>
              <w:sz w:val="18"/>
            </w:rPr>
            <w:t>24</w:t>
          </w:r>
        </w:p>
        <w:p>
          <w:pPr>
            <w:pStyle w:val="TOC2"/>
            <w:tabs>
              <w:tab w:pos="10032" w:val="right" w:leader="none"/>
            </w:tabs>
            <w:spacing w:before="75"/>
            <w:rPr>
              <w:sz w:val="18"/>
            </w:rPr>
          </w:pPr>
          <w:hyperlink w:history="true" w:anchor="_TOC_250020">
            <w:r>
              <w:rPr>
                <w:w w:val="105"/>
              </w:rPr>
              <w:t>Final pick-up</w:t>
            </w:r>
            <w:r>
              <w:rPr>
                <w:spacing w:val="-6"/>
                <w:w w:val="105"/>
              </w:rPr>
              <w:t> </w:t>
            </w:r>
            <w:r>
              <w:rPr>
                <w:w w:val="105"/>
              </w:rPr>
              <w:t>of</w:t>
            </w:r>
            <w:r>
              <w:rPr>
                <w:spacing w:val="-2"/>
                <w:w w:val="105"/>
              </w:rPr>
              <w:t> </w:t>
            </w:r>
            <w:r>
              <w:rPr>
                <w:w w:val="105"/>
              </w:rPr>
              <w:t>portfolios</w:t>
              <w:tab/>
            </w:r>
            <w:r>
              <w:rPr>
                <w:w w:val="105"/>
                <w:sz w:val="18"/>
              </w:rPr>
              <w:t>25</w:t>
            </w:r>
          </w:hyperlink>
        </w:p>
        <w:p>
          <w:pPr>
            <w:pStyle w:val="TOC2"/>
            <w:tabs>
              <w:tab w:pos="10032" w:val="right" w:leader="none"/>
            </w:tabs>
            <w:rPr>
              <w:sz w:val="18"/>
            </w:rPr>
          </w:pPr>
          <w:hyperlink w:history="true" w:anchor="_TOC_250019">
            <w:r>
              <w:rPr>
                <w:w w:val="105"/>
              </w:rPr>
              <w:t>Remaining</w:t>
            </w:r>
            <w:r>
              <w:rPr>
                <w:spacing w:val="-2"/>
                <w:w w:val="105"/>
              </w:rPr>
              <w:t> </w:t>
            </w:r>
            <w:r>
              <w:rPr>
                <w:w w:val="105"/>
              </w:rPr>
              <w:t>Materials</w:t>
              <w:tab/>
            </w:r>
            <w:r>
              <w:rPr>
                <w:w w:val="105"/>
                <w:sz w:val="18"/>
              </w:rPr>
              <w:t>25</w:t>
            </w:r>
          </w:hyperlink>
        </w:p>
        <w:p>
          <w:pPr>
            <w:pStyle w:val="TOC2"/>
            <w:tabs>
              <w:tab w:pos="10032" w:val="right" w:leader="none"/>
            </w:tabs>
            <w:rPr>
              <w:sz w:val="18"/>
            </w:rPr>
          </w:pPr>
          <w:hyperlink w:history="true" w:anchor="_TOC_250018">
            <w:r>
              <w:rPr>
                <w:w w:val="105"/>
              </w:rPr>
              <w:t>Marker</w:t>
            </w:r>
            <w:r>
              <w:rPr>
                <w:spacing w:val="-4"/>
                <w:w w:val="105"/>
              </w:rPr>
              <w:t> </w:t>
            </w:r>
            <w:r>
              <w:rPr>
                <w:w w:val="105"/>
              </w:rPr>
              <w:t>Claims</w:t>
              <w:tab/>
            </w:r>
            <w:r>
              <w:rPr>
                <w:w w:val="105"/>
                <w:sz w:val="18"/>
              </w:rPr>
              <w:t>26</w:t>
            </w:r>
          </w:hyperlink>
        </w:p>
        <w:p>
          <w:pPr>
            <w:pStyle w:val="TOC1"/>
            <w:tabs>
              <w:tab w:pos="10023" w:val="right" w:leader="dot"/>
            </w:tabs>
            <w:rPr>
              <w:sz w:val="18"/>
            </w:rPr>
          </w:pPr>
          <w:hyperlink w:history="true" w:anchor="_TOC_250017">
            <w:r>
              <w:rPr/>
              <w:t>LEADING</w:t>
            </w:r>
            <w:r>
              <w:rPr>
                <w:spacing w:val="1"/>
              </w:rPr>
              <w:t> </w:t>
            </w:r>
            <w:r>
              <w:rPr/>
              <w:t>A</w:t>
            </w:r>
            <w:r>
              <w:rPr>
                <w:spacing w:val="-1"/>
              </w:rPr>
              <w:t> </w:t>
            </w:r>
            <w:r>
              <w:rPr/>
              <w:t>PANEL</w:t>
              <w:tab/>
            </w:r>
            <w:r>
              <w:rPr>
                <w:sz w:val="18"/>
              </w:rPr>
              <w:t>28</w:t>
            </w:r>
          </w:hyperlink>
        </w:p>
        <w:p>
          <w:pPr>
            <w:pStyle w:val="TOC2"/>
            <w:tabs>
              <w:tab w:pos="10033" w:val="right" w:leader="none"/>
            </w:tabs>
            <w:rPr>
              <w:sz w:val="18"/>
            </w:rPr>
          </w:pPr>
          <w:hyperlink w:history="true" w:anchor="_TOC_250016">
            <w:r>
              <w:rPr>
                <w:w w:val="105"/>
              </w:rPr>
              <w:t>Additional panel</w:t>
            </w:r>
            <w:r>
              <w:rPr>
                <w:spacing w:val="-6"/>
                <w:w w:val="105"/>
              </w:rPr>
              <w:t> </w:t>
            </w:r>
            <w:r>
              <w:rPr>
                <w:w w:val="105"/>
              </w:rPr>
              <w:t>leader</w:t>
            </w:r>
            <w:r>
              <w:rPr>
                <w:spacing w:val="1"/>
                <w:w w:val="105"/>
              </w:rPr>
              <w:t> </w:t>
            </w:r>
            <w:r>
              <w:rPr>
                <w:w w:val="105"/>
              </w:rPr>
              <w:t>materials</w:t>
              <w:tab/>
            </w:r>
            <w:r>
              <w:rPr>
                <w:w w:val="105"/>
                <w:sz w:val="18"/>
              </w:rPr>
              <w:t>28</w:t>
            </w:r>
          </w:hyperlink>
        </w:p>
        <w:p>
          <w:pPr>
            <w:pStyle w:val="TOC2"/>
            <w:tabs>
              <w:tab w:pos="10033" w:val="right" w:leader="none"/>
            </w:tabs>
            <w:spacing w:before="238"/>
            <w:rPr>
              <w:sz w:val="18"/>
            </w:rPr>
          </w:pPr>
          <w:hyperlink w:history="true" w:anchor="_TOC_250015">
            <w:r>
              <w:rPr>
                <w:w w:val="105"/>
              </w:rPr>
              <w:t>Marking</w:t>
            </w:r>
            <w:r>
              <w:rPr>
                <w:spacing w:val="-2"/>
                <w:w w:val="105"/>
              </w:rPr>
              <w:t> </w:t>
            </w:r>
            <w:r>
              <w:rPr>
                <w:w w:val="105"/>
              </w:rPr>
              <w:t>timelines</w:t>
              <w:tab/>
            </w:r>
            <w:r>
              <w:rPr>
                <w:w w:val="105"/>
                <w:sz w:val="18"/>
              </w:rPr>
              <w:t>28</w:t>
            </w:r>
          </w:hyperlink>
        </w:p>
        <w:p>
          <w:pPr>
            <w:pStyle w:val="TOC2"/>
            <w:tabs>
              <w:tab w:pos="10032" w:val="right" w:leader="none"/>
            </w:tabs>
            <w:spacing w:before="241"/>
            <w:rPr>
              <w:sz w:val="18"/>
            </w:rPr>
          </w:pPr>
          <w:hyperlink w:history="true" w:anchor="_TOC_250014">
            <w:r>
              <w:rPr>
                <w:w w:val="110"/>
              </w:rPr>
              <w:t>Initial contact</w:t>
            </w:r>
            <w:r>
              <w:rPr>
                <w:spacing w:val="-11"/>
                <w:w w:val="110"/>
              </w:rPr>
              <w:t> </w:t>
            </w:r>
            <w:r>
              <w:rPr>
                <w:w w:val="110"/>
              </w:rPr>
              <w:t>with</w:t>
            </w:r>
            <w:r>
              <w:rPr>
                <w:spacing w:val="-5"/>
                <w:w w:val="110"/>
              </w:rPr>
              <w:t> </w:t>
            </w:r>
            <w:r>
              <w:rPr>
                <w:w w:val="110"/>
              </w:rPr>
              <w:t>markers</w:t>
              <w:tab/>
            </w:r>
            <w:r>
              <w:rPr>
                <w:w w:val="110"/>
                <w:sz w:val="18"/>
              </w:rPr>
              <w:t>28</w:t>
            </w:r>
          </w:hyperlink>
        </w:p>
        <w:p>
          <w:pPr>
            <w:pStyle w:val="TOC2"/>
            <w:tabs>
              <w:tab w:pos="10032" w:val="right" w:leader="none"/>
            </w:tabs>
            <w:rPr>
              <w:sz w:val="18"/>
            </w:rPr>
          </w:pPr>
          <w:hyperlink w:history="true" w:anchor="_TOC_250013">
            <w:r>
              <w:rPr>
                <w:w w:val="105"/>
              </w:rPr>
              <w:t>Benchmarking</w:t>
            </w:r>
            <w:r>
              <w:rPr>
                <w:spacing w:val="-2"/>
                <w:w w:val="105"/>
              </w:rPr>
              <w:t> </w:t>
            </w:r>
            <w:r>
              <w:rPr>
                <w:w w:val="105"/>
              </w:rPr>
              <w:t>Meeting</w:t>
              <w:tab/>
            </w:r>
            <w:r>
              <w:rPr>
                <w:w w:val="105"/>
                <w:sz w:val="18"/>
              </w:rPr>
              <w:t>29</w:t>
            </w:r>
          </w:hyperlink>
        </w:p>
        <w:p>
          <w:pPr>
            <w:pStyle w:val="TOC2"/>
            <w:tabs>
              <w:tab w:pos="10033" w:val="right" w:leader="none"/>
            </w:tabs>
            <w:spacing w:before="241"/>
            <w:rPr>
              <w:sz w:val="18"/>
            </w:rPr>
          </w:pPr>
          <w:hyperlink w:history="true" w:anchor="_TOC_250012">
            <w:r>
              <w:rPr>
                <w:w w:val="105"/>
              </w:rPr>
              <w:t>Bench</w:t>
            </w:r>
            <w:r>
              <w:rPr>
                <w:spacing w:val="-1"/>
                <w:w w:val="105"/>
              </w:rPr>
              <w:t> </w:t>
            </w:r>
            <w:r>
              <w:rPr>
                <w:w w:val="105"/>
              </w:rPr>
              <w:t>marked</w:t>
            </w:r>
            <w:r>
              <w:rPr>
                <w:spacing w:val="-4"/>
                <w:w w:val="105"/>
              </w:rPr>
              <w:t> </w:t>
            </w:r>
            <w:r>
              <w:rPr>
                <w:w w:val="105"/>
              </w:rPr>
              <w:t>Portfolios</w:t>
              <w:tab/>
            </w:r>
            <w:r>
              <w:rPr>
                <w:w w:val="105"/>
                <w:sz w:val="18"/>
              </w:rPr>
              <w:t>29</w:t>
            </w:r>
          </w:hyperlink>
        </w:p>
        <w:p>
          <w:pPr>
            <w:pStyle w:val="TOC2"/>
            <w:tabs>
              <w:tab w:pos="10032" w:val="right" w:leader="none"/>
            </w:tabs>
            <w:rPr>
              <w:sz w:val="18"/>
            </w:rPr>
          </w:pPr>
          <w:hyperlink w:history="true" w:anchor="_TOC_250011">
            <w:r>
              <w:rPr>
                <w:w w:val="110"/>
              </w:rPr>
              <w:t>Other</w:t>
            </w:r>
            <w:r>
              <w:rPr>
                <w:spacing w:val="-6"/>
                <w:w w:val="110"/>
              </w:rPr>
              <w:t> </w:t>
            </w:r>
            <w:r>
              <w:rPr>
                <w:w w:val="110"/>
              </w:rPr>
              <w:t>preparation</w:t>
              <w:tab/>
            </w:r>
            <w:r>
              <w:rPr>
                <w:w w:val="110"/>
                <w:sz w:val="18"/>
              </w:rPr>
              <w:t>30</w:t>
            </w:r>
          </w:hyperlink>
        </w:p>
        <w:p>
          <w:pPr>
            <w:pStyle w:val="TOC2"/>
            <w:tabs>
              <w:tab w:pos="10032" w:val="right" w:leader="none"/>
            </w:tabs>
            <w:rPr>
              <w:sz w:val="18"/>
            </w:rPr>
          </w:pPr>
          <w:hyperlink w:history="true" w:anchor="_TOC_250010">
            <w:r>
              <w:rPr>
                <w:w w:val="105"/>
              </w:rPr>
              <w:t>Profile of Expected</w:t>
            </w:r>
            <w:r>
              <w:rPr>
                <w:spacing w:val="-9"/>
                <w:w w:val="105"/>
              </w:rPr>
              <w:t> </w:t>
            </w:r>
            <w:r>
              <w:rPr>
                <w:w w:val="105"/>
              </w:rPr>
              <w:t>Performance</w:t>
            </w:r>
            <w:r>
              <w:rPr>
                <w:spacing w:val="-1"/>
                <w:w w:val="105"/>
              </w:rPr>
              <w:t> </w:t>
            </w:r>
            <w:r>
              <w:rPr>
                <w:w w:val="105"/>
              </w:rPr>
              <w:t>(PEP)</w:t>
              <w:tab/>
            </w:r>
            <w:r>
              <w:rPr>
                <w:w w:val="105"/>
                <w:sz w:val="18"/>
              </w:rPr>
              <w:t>30</w:t>
            </w:r>
          </w:hyperlink>
        </w:p>
        <w:p>
          <w:pPr>
            <w:pStyle w:val="TOC2"/>
            <w:tabs>
              <w:tab w:pos="10032" w:val="right" w:leader="none"/>
            </w:tabs>
            <w:spacing w:before="238"/>
            <w:rPr>
              <w:sz w:val="18"/>
            </w:rPr>
          </w:pPr>
          <w:hyperlink w:history="true" w:anchor="_TOC_250009">
            <w:r>
              <w:rPr>
                <w:w w:val="110"/>
              </w:rPr>
              <w:t>Test</w:t>
            </w:r>
            <w:r>
              <w:rPr>
                <w:spacing w:val="-1"/>
                <w:w w:val="110"/>
              </w:rPr>
              <w:t> </w:t>
            </w:r>
            <w:r>
              <w:rPr>
                <w:w w:val="110"/>
              </w:rPr>
              <w:t>marking</w:t>
              <w:tab/>
            </w:r>
            <w:r>
              <w:rPr>
                <w:w w:val="110"/>
                <w:sz w:val="18"/>
              </w:rPr>
              <w:t>31</w:t>
            </w:r>
          </w:hyperlink>
        </w:p>
        <w:p>
          <w:pPr>
            <w:pStyle w:val="TOC2"/>
            <w:tabs>
              <w:tab w:pos="10032" w:val="right" w:leader="none"/>
            </w:tabs>
            <w:spacing w:before="241"/>
            <w:rPr>
              <w:sz w:val="18"/>
            </w:rPr>
          </w:pPr>
          <w:hyperlink w:history="true" w:anchor="_TOC_250008">
            <w:r>
              <w:rPr>
                <w:w w:val="105"/>
              </w:rPr>
              <w:t>The</w:t>
            </w:r>
            <w:r>
              <w:rPr>
                <w:spacing w:val="-2"/>
                <w:w w:val="105"/>
              </w:rPr>
              <w:t> </w:t>
            </w:r>
            <w:r>
              <w:rPr>
                <w:w w:val="105"/>
              </w:rPr>
              <w:t>Panel</w:t>
            </w:r>
            <w:r>
              <w:rPr>
                <w:spacing w:val="-3"/>
                <w:w w:val="105"/>
              </w:rPr>
              <w:t> </w:t>
            </w:r>
            <w:r>
              <w:rPr>
                <w:w w:val="105"/>
              </w:rPr>
              <w:t>Meeting</w:t>
              <w:tab/>
            </w:r>
            <w:r>
              <w:rPr>
                <w:w w:val="105"/>
                <w:sz w:val="18"/>
              </w:rPr>
              <w:t>31</w:t>
            </w:r>
          </w:hyperlink>
        </w:p>
        <w:p>
          <w:pPr>
            <w:pStyle w:val="TOC2"/>
            <w:tabs>
              <w:tab w:pos="10032" w:val="right" w:leader="none"/>
            </w:tabs>
            <w:rPr>
              <w:sz w:val="18"/>
            </w:rPr>
          </w:pPr>
          <w:hyperlink w:history="true" w:anchor="_TOC_250007">
            <w:r>
              <w:rPr>
                <w:w w:val="105"/>
              </w:rPr>
              <w:t>Monitoring</w:t>
            </w:r>
            <w:r>
              <w:rPr>
                <w:spacing w:val="-2"/>
                <w:w w:val="105"/>
              </w:rPr>
              <w:t> </w:t>
            </w:r>
            <w:r>
              <w:rPr>
                <w:w w:val="105"/>
              </w:rPr>
              <w:t>Performance</w:t>
              <w:tab/>
            </w:r>
            <w:r>
              <w:rPr>
                <w:w w:val="105"/>
                <w:sz w:val="18"/>
              </w:rPr>
              <w:t>33</w:t>
            </w:r>
          </w:hyperlink>
        </w:p>
        <w:p>
          <w:pPr>
            <w:pStyle w:val="TOC2"/>
            <w:tabs>
              <w:tab w:pos="10032" w:val="right" w:leader="none"/>
            </w:tabs>
            <w:spacing w:before="241"/>
            <w:rPr>
              <w:sz w:val="18"/>
            </w:rPr>
          </w:pPr>
          <w:hyperlink w:history="true" w:anchor="_TOC_250006">
            <w:r>
              <w:rPr>
                <w:w w:val="105"/>
              </w:rPr>
              <w:t>Check</w:t>
            </w:r>
            <w:r>
              <w:rPr>
                <w:spacing w:val="-7"/>
                <w:w w:val="105"/>
              </w:rPr>
              <w:t> </w:t>
            </w:r>
            <w:r>
              <w:rPr>
                <w:w w:val="105"/>
              </w:rPr>
              <w:t>Marking</w:t>
              <w:tab/>
            </w:r>
            <w:r>
              <w:rPr>
                <w:w w:val="105"/>
                <w:sz w:val="18"/>
              </w:rPr>
              <w:t>34</w:t>
            </w:r>
          </w:hyperlink>
        </w:p>
        <w:p>
          <w:pPr>
            <w:pStyle w:val="TOC2"/>
            <w:tabs>
              <w:tab w:pos="10032" w:val="right" w:leader="none"/>
            </w:tabs>
            <w:rPr>
              <w:sz w:val="18"/>
            </w:rPr>
          </w:pPr>
          <w:hyperlink w:history="true" w:anchor="_TOC_250005">
            <w:r>
              <w:rPr>
                <w:w w:val="105"/>
              </w:rPr>
              <w:t>Re-marking</w:t>
              <w:tab/>
            </w:r>
            <w:r>
              <w:rPr>
                <w:w w:val="105"/>
                <w:sz w:val="18"/>
              </w:rPr>
              <w:t>35</w:t>
            </w:r>
          </w:hyperlink>
        </w:p>
        <w:p>
          <w:pPr>
            <w:pStyle w:val="TOC2"/>
            <w:tabs>
              <w:tab w:pos="10032" w:val="right" w:leader="none"/>
            </w:tabs>
            <w:rPr>
              <w:sz w:val="18"/>
            </w:rPr>
          </w:pPr>
          <w:hyperlink w:history="true" w:anchor="_TOC_250004">
            <w:r>
              <w:rPr>
                <w:w w:val="105"/>
              </w:rPr>
              <w:t>Reallocating</w:t>
            </w:r>
            <w:r>
              <w:rPr>
                <w:spacing w:val="-2"/>
                <w:w w:val="105"/>
              </w:rPr>
              <w:t> </w:t>
            </w:r>
            <w:r>
              <w:rPr>
                <w:w w:val="105"/>
              </w:rPr>
              <w:t>Portfolios</w:t>
              <w:tab/>
            </w:r>
            <w:r>
              <w:rPr>
                <w:w w:val="105"/>
                <w:sz w:val="18"/>
              </w:rPr>
              <w:t>36</w:t>
            </w:r>
          </w:hyperlink>
        </w:p>
        <w:p>
          <w:pPr>
            <w:pStyle w:val="TOC2"/>
            <w:tabs>
              <w:tab w:pos="10032" w:val="right" w:leader="none"/>
            </w:tabs>
            <w:spacing w:before="239"/>
            <w:rPr>
              <w:sz w:val="18"/>
            </w:rPr>
          </w:pPr>
          <w:hyperlink w:history="true" w:anchor="_TOC_250003">
            <w:r>
              <w:rPr>
                <w:w w:val="110"/>
              </w:rPr>
              <w:t>Panel</w:t>
            </w:r>
            <w:r>
              <w:rPr>
                <w:spacing w:val="-7"/>
                <w:w w:val="110"/>
              </w:rPr>
              <w:t> </w:t>
            </w:r>
            <w:r>
              <w:rPr>
                <w:w w:val="110"/>
              </w:rPr>
              <w:t>leader</w:t>
            </w:r>
            <w:r>
              <w:rPr>
                <w:spacing w:val="-6"/>
                <w:w w:val="110"/>
              </w:rPr>
              <w:t> </w:t>
            </w:r>
            <w:r>
              <w:rPr>
                <w:w w:val="110"/>
              </w:rPr>
              <w:t>report</w:t>
              <w:tab/>
            </w:r>
            <w:r>
              <w:rPr>
                <w:w w:val="110"/>
                <w:sz w:val="18"/>
              </w:rPr>
              <w:t>37</w:t>
            </w:r>
          </w:hyperlink>
        </w:p>
        <w:p>
          <w:pPr>
            <w:pStyle w:val="TOC2"/>
            <w:tabs>
              <w:tab w:pos="10031" w:val="right" w:leader="none"/>
            </w:tabs>
            <w:rPr>
              <w:sz w:val="18"/>
            </w:rPr>
          </w:pPr>
          <w:hyperlink w:history="true" w:anchor="_TOC_250002">
            <w:r>
              <w:rPr>
                <w:w w:val="105"/>
              </w:rPr>
              <w:t>Reviews</w:t>
            </w:r>
            <w:r>
              <w:rPr>
                <w:spacing w:val="-4"/>
                <w:w w:val="105"/>
              </w:rPr>
              <w:t> </w:t>
            </w:r>
            <w:r>
              <w:rPr>
                <w:w w:val="105"/>
              </w:rPr>
              <w:t>and</w:t>
            </w:r>
            <w:r>
              <w:rPr>
                <w:spacing w:val="-3"/>
                <w:w w:val="105"/>
              </w:rPr>
              <w:t> </w:t>
            </w:r>
            <w:r>
              <w:rPr>
                <w:w w:val="105"/>
              </w:rPr>
              <w:t>Reconsiderations</w:t>
              <w:tab/>
            </w:r>
            <w:r>
              <w:rPr>
                <w:w w:val="105"/>
                <w:sz w:val="18"/>
              </w:rPr>
              <w:t>37</w:t>
            </w:r>
          </w:hyperlink>
        </w:p>
        <w:p>
          <w:pPr>
            <w:pStyle w:val="TOC2"/>
            <w:tabs>
              <w:tab w:pos="10032" w:val="right" w:leader="none"/>
            </w:tabs>
            <w:rPr>
              <w:sz w:val="18"/>
            </w:rPr>
          </w:pPr>
          <w:hyperlink w:history="true" w:anchor="_TOC_250001">
            <w:r>
              <w:rPr/>
              <w:t>Review</w:t>
            </w:r>
            <w:r>
              <w:rPr>
                <w:spacing w:val="-1"/>
              </w:rPr>
              <w:t> </w:t>
            </w:r>
            <w:r>
              <w:rPr/>
              <w:t>Meeting</w:t>
              <w:tab/>
            </w:r>
            <w:r>
              <w:rPr>
                <w:sz w:val="18"/>
              </w:rPr>
              <w:t>37</w:t>
            </w:r>
          </w:hyperlink>
        </w:p>
        <w:p>
          <w:pPr>
            <w:pStyle w:val="TOC1"/>
            <w:tabs>
              <w:tab w:pos="10022" w:val="right" w:leader="dot"/>
            </w:tabs>
            <w:rPr>
              <w:sz w:val="18"/>
            </w:rPr>
          </w:pPr>
          <w:hyperlink w:history="true" w:anchor="_TOC_250000">
            <w:r>
              <w:rPr>
                <w:w w:val="105"/>
              </w:rPr>
              <w:t>APPENDICES</w:t>
              <w:tab/>
            </w:r>
            <w:r>
              <w:rPr>
                <w:w w:val="105"/>
                <w:sz w:val="18"/>
              </w:rPr>
              <w:t>39</w:t>
            </w:r>
          </w:hyperlink>
        </w:p>
      </w:sdtContent>
    </w:sdt>
    <w:p>
      <w:pPr>
        <w:spacing w:after="0"/>
        <w:rPr>
          <w:sz w:val="18"/>
        </w:rPr>
        <w:sectPr>
          <w:type w:val="continuous"/>
          <w:pgSz w:w="11910" w:h="16840"/>
          <w:pgMar w:top="1059" w:bottom="1239" w:left="740" w:right="580"/>
        </w:sectPr>
      </w:pPr>
    </w:p>
    <w:p>
      <w:pPr>
        <w:pStyle w:val="BodyText"/>
        <w:spacing w:before="2"/>
        <w:rPr>
          <w:sz w:val="9"/>
        </w:rPr>
      </w:pPr>
    </w:p>
    <w:tbl>
      <w:tblPr>
        <w:tblW w:w="0" w:type="auto"/>
        <w:jc w:val="left"/>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6"/>
        <w:gridCol w:w="6469"/>
        <w:gridCol w:w="1558"/>
      </w:tblGrid>
      <w:tr>
        <w:trPr>
          <w:trHeight w:val="274" w:hRule="atLeast"/>
        </w:trPr>
        <w:tc>
          <w:tcPr>
            <w:tcW w:w="1266" w:type="dxa"/>
          </w:tcPr>
          <w:p>
            <w:pPr>
              <w:pStyle w:val="TableParagraph"/>
              <w:spacing w:line="221" w:lineRule="exact"/>
              <w:ind w:left="50"/>
              <w:rPr>
                <w:sz w:val="20"/>
              </w:rPr>
            </w:pPr>
            <w:r>
              <w:rPr>
                <w:sz w:val="20"/>
              </w:rPr>
              <w:t>Appendix A:</w:t>
            </w:r>
          </w:p>
        </w:tc>
        <w:tc>
          <w:tcPr>
            <w:tcW w:w="6469" w:type="dxa"/>
          </w:tcPr>
          <w:p>
            <w:pPr>
              <w:pStyle w:val="TableParagraph"/>
              <w:spacing w:line="221" w:lineRule="exact"/>
              <w:ind w:left="190"/>
              <w:rPr>
                <w:sz w:val="20"/>
              </w:rPr>
            </w:pPr>
            <w:r>
              <w:rPr>
                <w:sz w:val="20"/>
              </w:rPr>
              <w:t>Planning Sheet for Marking Timelines</w:t>
            </w:r>
          </w:p>
        </w:tc>
        <w:tc>
          <w:tcPr>
            <w:tcW w:w="1558" w:type="dxa"/>
          </w:tcPr>
          <w:p>
            <w:pPr>
              <w:pStyle w:val="TableParagraph"/>
              <w:spacing w:before="9"/>
              <w:ind w:right="50"/>
              <w:jc w:val="right"/>
              <w:rPr>
                <w:sz w:val="18"/>
              </w:rPr>
            </w:pPr>
            <w:r>
              <w:rPr>
                <w:w w:val="110"/>
                <w:sz w:val="18"/>
              </w:rPr>
              <w:t>39</w:t>
            </w:r>
          </w:p>
        </w:tc>
      </w:tr>
      <w:tr>
        <w:trPr>
          <w:trHeight w:val="330" w:hRule="atLeast"/>
        </w:trPr>
        <w:tc>
          <w:tcPr>
            <w:tcW w:w="1266" w:type="dxa"/>
          </w:tcPr>
          <w:p>
            <w:pPr>
              <w:pStyle w:val="TableParagraph"/>
              <w:spacing w:before="45"/>
              <w:ind w:left="50"/>
              <w:rPr>
                <w:sz w:val="20"/>
              </w:rPr>
            </w:pPr>
            <w:r>
              <w:rPr>
                <w:sz w:val="20"/>
              </w:rPr>
              <w:t>Appendix B:</w:t>
            </w:r>
          </w:p>
        </w:tc>
        <w:tc>
          <w:tcPr>
            <w:tcW w:w="6469" w:type="dxa"/>
          </w:tcPr>
          <w:p>
            <w:pPr>
              <w:pStyle w:val="TableParagraph"/>
              <w:spacing w:before="45"/>
              <w:ind w:left="190"/>
              <w:rPr>
                <w:sz w:val="20"/>
              </w:rPr>
            </w:pPr>
            <w:r>
              <w:rPr>
                <w:sz w:val="20"/>
              </w:rPr>
              <w:t>Portfolios Sent for Check Marking Form</w:t>
            </w:r>
          </w:p>
        </w:tc>
        <w:tc>
          <w:tcPr>
            <w:tcW w:w="1558" w:type="dxa"/>
          </w:tcPr>
          <w:p>
            <w:pPr>
              <w:pStyle w:val="TableParagraph"/>
              <w:spacing w:before="63"/>
              <w:ind w:right="50"/>
              <w:jc w:val="right"/>
              <w:rPr>
                <w:sz w:val="18"/>
              </w:rPr>
            </w:pPr>
            <w:r>
              <w:rPr>
                <w:w w:val="110"/>
                <w:sz w:val="18"/>
              </w:rPr>
              <w:t>40</w:t>
            </w:r>
          </w:p>
        </w:tc>
      </w:tr>
      <w:tr>
        <w:trPr>
          <w:trHeight w:val="330" w:hRule="atLeast"/>
        </w:trPr>
        <w:tc>
          <w:tcPr>
            <w:tcW w:w="1266" w:type="dxa"/>
          </w:tcPr>
          <w:p>
            <w:pPr>
              <w:pStyle w:val="TableParagraph"/>
              <w:spacing w:before="46"/>
              <w:ind w:left="50"/>
              <w:rPr>
                <w:sz w:val="20"/>
              </w:rPr>
            </w:pPr>
            <w:r>
              <w:rPr>
                <w:sz w:val="20"/>
              </w:rPr>
              <w:t>Appendix C:</w:t>
            </w:r>
          </w:p>
        </w:tc>
        <w:tc>
          <w:tcPr>
            <w:tcW w:w="6469" w:type="dxa"/>
          </w:tcPr>
          <w:p>
            <w:pPr>
              <w:pStyle w:val="TableParagraph"/>
              <w:spacing w:before="46"/>
              <w:ind w:left="204"/>
              <w:rPr>
                <w:sz w:val="20"/>
              </w:rPr>
            </w:pPr>
            <w:r>
              <w:rPr>
                <w:sz w:val="20"/>
              </w:rPr>
              <w:t>Check Marking Summary Form</w:t>
            </w:r>
          </w:p>
        </w:tc>
        <w:tc>
          <w:tcPr>
            <w:tcW w:w="1558" w:type="dxa"/>
          </w:tcPr>
          <w:p>
            <w:pPr>
              <w:pStyle w:val="TableParagraph"/>
              <w:spacing w:before="64"/>
              <w:ind w:right="49"/>
              <w:jc w:val="right"/>
              <w:rPr>
                <w:sz w:val="18"/>
              </w:rPr>
            </w:pPr>
            <w:r>
              <w:rPr>
                <w:w w:val="110"/>
                <w:sz w:val="18"/>
              </w:rPr>
              <w:t>41</w:t>
            </w:r>
          </w:p>
        </w:tc>
      </w:tr>
      <w:tr>
        <w:trPr>
          <w:trHeight w:val="330" w:hRule="atLeast"/>
        </w:trPr>
        <w:tc>
          <w:tcPr>
            <w:tcW w:w="1266" w:type="dxa"/>
          </w:tcPr>
          <w:p>
            <w:pPr>
              <w:pStyle w:val="TableParagraph"/>
              <w:spacing w:before="45"/>
              <w:ind w:left="50"/>
              <w:rPr>
                <w:sz w:val="20"/>
              </w:rPr>
            </w:pPr>
            <w:r>
              <w:rPr>
                <w:sz w:val="20"/>
              </w:rPr>
              <w:t>Appendix D:</w:t>
            </w:r>
          </w:p>
        </w:tc>
        <w:tc>
          <w:tcPr>
            <w:tcW w:w="6469" w:type="dxa"/>
          </w:tcPr>
          <w:p>
            <w:pPr>
              <w:pStyle w:val="TableParagraph"/>
              <w:spacing w:before="45"/>
              <w:ind w:left="204"/>
              <w:rPr>
                <w:sz w:val="20"/>
              </w:rPr>
            </w:pPr>
            <w:r>
              <w:rPr>
                <w:sz w:val="20"/>
              </w:rPr>
              <w:t>Marker’s Check List</w:t>
            </w:r>
          </w:p>
        </w:tc>
        <w:tc>
          <w:tcPr>
            <w:tcW w:w="1558" w:type="dxa"/>
          </w:tcPr>
          <w:p>
            <w:pPr>
              <w:pStyle w:val="TableParagraph"/>
              <w:spacing w:before="63"/>
              <w:ind w:right="50"/>
              <w:jc w:val="right"/>
              <w:rPr>
                <w:sz w:val="18"/>
              </w:rPr>
            </w:pPr>
            <w:r>
              <w:rPr>
                <w:w w:val="110"/>
                <w:sz w:val="18"/>
              </w:rPr>
              <w:t>42</w:t>
            </w:r>
          </w:p>
        </w:tc>
      </w:tr>
      <w:tr>
        <w:trPr>
          <w:trHeight w:val="330" w:hRule="atLeast"/>
        </w:trPr>
        <w:tc>
          <w:tcPr>
            <w:tcW w:w="1266" w:type="dxa"/>
          </w:tcPr>
          <w:p>
            <w:pPr>
              <w:pStyle w:val="TableParagraph"/>
              <w:spacing w:before="46"/>
              <w:ind w:left="50"/>
              <w:rPr>
                <w:sz w:val="20"/>
              </w:rPr>
            </w:pPr>
            <w:r>
              <w:rPr>
                <w:sz w:val="20"/>
              </w:rPr>
              <w:t>Appendix E:</w:t>
            </w:r>
          </w:p>
        </w:tc>
        <w:tc>
          <w:tcPr>
            <w:tcW w:w="6469" w:type="dxa"/>
          </w:tcPr>
          <w:p>
            <w:pPr>
              <w:pStyle w:val="TableParagraph"/>
              <w:spacing w:before="46"/>
              <w:ind w:left="190"/>
              <w:rPr>
                <w:sz w:val="20"/>
              </w:rPr>
            </w:pPr>
            <w:r>
              <w:rPr>
                <w:sz w:val="20"/>
              </w:rPr>
              <w:t>Panel Leader Check List</w:t>
            </w:r>
          </w:p>
        </w:tc>
        <w:tc>
          <w:tcPr>
            <w:tcW w:w="1558" w:type="dxa"/>
          </w:tcPr>
          <w:p>
            <w:pPr>
              <w:pStyle w:val="TableParagraph"/>
              <w:spacing w:before="64"/>
              <w:ind w:right="50"/>
              <w:jc w:val="right"/>
              <w:rPr>
                <w:sz w:val="18"/>
              </w:rPr>
            </w:pPr>
            <w:r>
              <w:rPr>
                <w:w w:val="110"/>
                <w:sz w:val="18"/>
              </w:rPr>
              <w:t>43</w:t>
            </w:r>
          </w:p>
        </w:tc>
      </w:tr>
      <w:tr>
        <w:trPr>
          <w:trHeight w:val="330" w:hRule="atLeast"/>
        </w:trPr>
        <w:tc>
          <w:tcPr>
            <w:tcW w:w="1266" w:type="dxa"/>
          </w:tcPr>
          <w:p>
            <w:pPr>
              <w:pStyle w:val="TableParagraph"/>
              <w:spacing w:before="45"/>
              <w:ind w:left="50"/>
              <w:rPr>
                <w:sz w:val="20"/>
              </w:rPr>
            </w:pPr>
            <w:r>
              <w:rPr>
                <w:sz w:val="20"/>
              </w:rPr>
              <w:t>Appendix F:</w:t>
            </w:r>
          </w:p>
        </w:tc>
        <w:tc>
          <w:tcPr>
            <w:tcW w:w="6469" w:type="dxa"/>
          </w:tcPr>
          <w:p>
            <w:pPr>
              <w:pStyle w:val="TableParagraph"/>
              <w:spacing w:before="45"/>
              <w:ind w:left="178"/>
              <w:rPr>
                <w:sz w:val="20"/>
              </w:rPr>
            </w:pPr>
            <w:r>
              <w:rPr>
                <w:sz w:val="20"/>
              </w:rPr>
              <w:t>Authenticity Statement Check Sheet</w:t>
            </w:r>
          </w:p>
        </w:tc>
        <w:tc>
          <w:tcPr>
            <w:tcW w:w="1558" w:type="dxa"/>
          </w:tcPr>
          <w:p>
            <w:pPr>
              <w:pStyle w:val="TableParagraph"/>
              <w:spacing w:before="63"/>
              <w:ind w:right="49"/>
              <w:jc w:val="right"/>
              <w:rPr>
                <w:sz w:val="18"/>
              </w:rPr>
            </w:pPr>
            <w:r>
              <w:rPr>
                <w:w w:val="110"/>
                <w:sz w:val="18"/>
              </w:rPr>
              <w:t>44</w:t>
            </w:r>
          </w:p>
        </w:tc>
      </w:tr>
      <w:tr>
        <w:trPr>
          <w:trHeight w:val="330" w:hRule="atLeast"/>
        </w:trPr>
        <w:tc>
          <w:tcPr>
            <w:tcW w:w="1266" w:type="dxa"/>
          </w:tcPr>
          <w:p>
            <w:pPr>
              <w:pStyle w:val="TableParagraph"/>
              <w:spacing w:before="46"/>
              <w:ind w:left="50"/>
              <w:rPr>
                <w:sz w:val="20"/>
              </w:rPr>
            </w:pPr>
            <w:r>
              <w:rPr>
                <w:sz w:val="20"/>
              </w:rPr>
              <w:t>Appendix G:</w:t>
            </w:r>
          </w:p>
        </w:tc>
        <w:tc>
          <w:tcPr>
            <w:tcW w:w="6469" w:type="dxa"/>
          </w:tcPr>
          <w:p>
            <w:pPr>
              <w:pStyle w:val="TableParagraph"/>
              <w:spacing w:before="46"/>
              <w:ind w:left="216"/>
              <w:rPr>
                <w:sz w:val="20"/>
              </w:rPr>
            </w:pPr>
            <w:r>
              <w:rPr>
                <w:sz w:val="20"/>
              </w:rPr>
              <w:t>Excess Portfolio Material Sheet or Submissions in Clear Files</w:t>
            </w:r>
          </w:p>
        </w:tc>
        <w:tc>
          <w:tcPr>
            <w:tcW w:w="1558" w:type="dxa"/>
          </w:tcPr>
          <w:p>
            <w:pPr>
              <w:pStyle w:val="TableParagraph"/>
              <w:spacing w:before="64"/>
              <w:ind w:right="50"/>
              <w:jc w:val="right"/>
              <w:rPr>
                <w:sz w:val="18"/>
              </w:rPr>
            </w:pPr>
            <w:r>
              <w:rPr>
                <w:w w:val="110"/>
                <w:sz w:val="18"/>
              </w:rPr>
              <w:t>45</w:t>
            </w:r>
          </w:p>
        </w:tc>
      </w:tr>
      <w:tr>
        <w:trPr>
          <w:trHeight w:val="274" w:hRule="atLeast"/>
        </w:trPr>
        <w:tc>
          <w:tcPr>
            <w:tcW w:w="1266" w:type="dxa"/>
          </w:tcPr>
          <w:p>
            <w:pPr>
              <w:pStyle w:val="TableParagraph"/>
              <w:spacing w:line="210" w:lineRule="exact" w:before="45"/>
              <w:ind w:left="50"/>
              <w:rPr>
                <w:sz w:val="20"/>
              </w:rPr>
            </w:pPr>
            <w:r>
              <w:rPr>
                <w:sz w:val="20"/>
              </w:rPr>
              <w:t>Appendix H:</w:t>
            </w:r>
          </w:p>
        </w:tc>
        <w:tc>
          <w:tcPr>
            <w:tcW w:w="6469" w:type="dxa"/>
          </w:tcPr>
          <w:p>
            <w:pPr>
              <w:pStyle w:val="TableParagraph"/>
              <w:spacing w:line="210" w:lineRule="exact" w:before="45"/>
              <w:ind w:left="204"/>
              <w:rPr>
                <w:sz w:val="20"/>
              </w:rPr>
            </w:pPr>
            <w:r>
              <w:rPr>
                <w:sz w:val="20"/>
              </w:rPr>
              <w:t>Instructions for Reallocating Portfolios Electronically</w:t>
            </w:r>
          </w:p>
        </w:tc>
        <w:tc>
          <w:tcPr>
            <w:tcW w:w="1558" w:type="dxa"/>
          </w:tcPr>
          <w:p>
            <w:pPr>
              <w:pStyle w:val="TableParagraph"/>
              <w:spacing w:line="191" w:lineRule="exact" w:before="63"/>
              <w:ind w:right="50"/>
              <w:jc w:val="right"/>
              <w:rPr>
                <w:sz w:val="18"/>
              </w:rPr>
            </w:pPr>
            <w:r>
              <w:rPr>
                <w:w w:val="110"/>
                <w:sz w:val="18"/>
              </w:rPr>
              <w:t>46</w:t>
            </w:r>
          </w:p>
        </w:tc>
      </w:tr>
    </w:tbl>
    <w:p>
      <w:pPr>
        <w:spacing w:after="0" w:line="191" w:lineRule="exact"/>
        <w:jc w:val="right"/>
        <w:rPr>
          <w:sz w:val="18"/>
        </w:rPr>
        <w:sectPr>
          <w:type w:val="continuous"/>
          <w:pgSz w:w="11910" w:h="16840"/>
          <w:pgMar w:top="1040" w:bottom="1060" w:left="740" w:right="580"/>
        </w:sectPr>
      </w:pPr>
    </w:p>
    <w:p>
      <w:pPr>
        <w:spacing w:before="76"/>
        <w:ind w:left="392" w:right="0" w:firstLine="0"/>
        <w:jc w:val="left"/>
        <w:rPr>
          <w:sz w:val="26"/>
        </w:rPr>
      </w:pPr>
      <w:r>
        <w:rPr>
          <w:w w:val="115"/>
          <w:sz w:val="26"/>
        </w:rPr>
        <w:t>Contact information</w:t>
      </w:r>
    </w:p>
    <w:p>
      <w:pPr>
        <w:pStyle w:val="BodyText"/>
        <w:spacing w:before="4"/>
        <w:rPr>
          <w:sz w:val="10"/>
        </w:rPr>
      </w:pPr>
    </w:p>
    <w:tbl>
      <w:tblPr>
        <w:tblW w:w="0" w:type="auto"/>
        <w:jc w:val="left"/>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2"/>
        <w:gridCol w:w="2976"/>
        <w:gridCol w:w="3821"/>
      </w:tblGrid>
      <w:tr>
        <w:trPr>
          <w:trHeight w:val="865" w:hRule="atLeast"/>
        </w:trPr>
        <w:tc>
          <w:tcPr>
            <w:tcW w:w="2832" w:type="dxa"/>
          </w:tcPr>
          <w:p>
            <w:pPr>
              <w:pStyle w:val="TableParagraph"/>
              <w:spacing w:before="121"/>
              <w:ind w:left="110"/>
              <w:rPr>
                <w:sz w:val="22"/>
              </w:rPr>
            </w:pPr>
            <w:r>
              <w:rPr>
                <w:w w:val="115"/>
                <w:sz w:val="22"/>
              </w:rPr>
              <w:t>Marker helpline</w:t>
            </w:r>
          </w:p>
          <w:p>
            <w:pPr>
              <w:pStyle w:val="TableParagraph"/>
              <w:spacing w:before="121"/>
              <w:ind w:left="110"/>
              <w:rPr>
                <w:sz w:val="22"/>
              </w:rPr>
            </w:pPr>
            <w:r>
              <w:rPr>
                <w:w w:val="115"/>
                <w:sz w:val="22"/>
              </w:rPr>
              <w:t>8 am – 5 pm weekdays</w:t>
            </w:r>
          </w:p>
        </w:tc>
        <w:tc>
          <w:tcPr>
            <w:tcW w:w="2976" w:type="dxa"/>
          </w:tcPr>
          <w:p>
            <w:pPr>
              <w:pStyle w:val="TableParagraph"/>
              <w:spacing w:before="9"/>
              <w:rPr>
                <w:sz w:val="26"/>
              </w:rPr>
            </w:pPr>
          </w:p>
          <w:p>
            <w:pPr>
              <w:pStyle w:val="TableParagraph"/>
              <w:ind w:left="107"/>
              <w:rPr>
                <w:sz w:val="22"/>
              </w:rPr>
            </w:pPr>
            <w:r>
              <w:rPr>
                <w:w w:val="110"/>
                <w:sz w:val="22"/>
              </w:rPr>
              <w:t>0800 222 230</w:t>
            </w:r>
          </w:p>
        </w:tc>
        <w:tc>
          <w:tcPr>
            <w:tcW w:w="3821" w:type="dxa"/>
          </w:tcPr>
          <w:p>
            <w:pPr>
              <w:pStyle w:val="TableParagraph"/>
              <w:spacing w:before="9"/>
              <w:rPr>
                <w:sz w:val="26"/>
              </w:rPr>
            </w:pPr>
          </w:p>
          <w:p>
            <w:pPr>
              <w:pStyle w:val="TableParagraph"/>
              <w:ind w:left="109"/>
              <w:rPr>
                <w:sz w:val="22"/>
              </w:rPr>
            </w:pPr>
            <w:hyperlink r:id="rId7">
              <w:r>
                <w:rPr>
                  <w:w w:val="110"/>
                  <w:sz w:val="22"/>
                </w:rPr>
                <w:t>examinations@nzqa.govt.nz</w:t>
              </w:r>
            </w:hyperlink>
          </w:p>
        </w:tc>
      </w:tr>
      <w:tr>
        <w:trPr>
          <w:trHeight w:val="494" w:hRule="atLeast"/>
        </w:trPr>
        <w:tc>
          <w:tcPr>
            <w:tcW w:w="2832" w:type="dxa"/>
          </w:tcPr>
          <w:p>
            <w:pPr>
              <w:pStyle w:val="TableParagraph"/>
              <w:spacing w:before="121"/>
              <w:ind w:left="110"/>
              <w:rPr>
                <w:sz w:val="22"/>
              </w:rPr>
            </w:pPr>
            <w:r>
              <w:rPr>
                <w:w w:val="120"/>
                <w:sz w:val="22"/>
              </w:rPr>
              <w:t>NZQA physical address</w:t>
            </w:r>
          </w:p>
        </w:tc>
        <w:tc>
          <w:tcPr>
            <w:tcW w:w="6797" w:type="dxa"/>
            <w:gridSpan w:val="2"/>
          </w:tcPr>
          <w:p>
            <w:pPr>
              <w:pStyle w:val="TableParagraph"/>
              <w:spacing w:before="121"/>
              <w:ind w:left="107"/>
              <w:rPr>
                <w:sz w:val="22"/>
              </w:rPr>
            </w:pPr>
            <w:r>
              <w:rPr>
                <w:w w:val="110"/>
                <w:sz w:val="22"/>
              </w:rPr>
              <w:t>Level 14, 125 The Terrace, Wellington 6011</w:t>
            </w:r>
          </w:p>
        </w:tc>
      </w:tr>
      <w:tr>
        <w:trPr>
          <w:trHeight w:val="491" w:hRule="atLeast"/>
        </w:trPr>
        <w:tc>
          <w:tcPr>
            <w:tcW w:w="2832" w:type="dxa"/>
          </w:tcPr>
          <w:p>
            <w:pPr>
              <w:pStyle w:val="TableParagraph"/>
              <w:spacing w:before="121"/>
              <w:ind w:left="110"/>
              <w:rPr>
                <w:sz w:val="22"/>
              </w:rPr>
            </w:pPr>
            <w:r>
              <w:rPr>
                <w:w w:val="120"/>
                <w:sz w:val="22"/>
              </w:rPr>
              <w:t>NZQA postal address</w:t>
            </w:r>
          </w:p>
        </w:tc>
        <w:tc>
          <w:tcPr>
            <w:tcW w:w="6797" w:type="dxa"/>
            <w:gridSpan w:val="2"/>
          </w:tcPr>
          <w:p>
            <w:pPr>
              <w:pStyle w:val="TableParagraph"/>
              <w:spacing w:before="121"/>
              <w:ind w:left="107"/>
              <w:rPr>
                <w:sz w:val="22"/>
              </w:rPr>
            </w:pPr>
            <w:r>
              <w:rPr>
                <w:w w:val="110"/>
                <w:sz w:val="22"/>
              </w:rPr>
              <w:t>PO Box 160, Wellington 6140</w:t>
            </w:r>
          </w:p>
        </w:tc>
      </w:tr>
      <w:tr>
        <w:trPr>
          <w:trHeight w:val="493" w:hRule="atLeast"/>
        </w:trPr>
        <w:tc>
          <w:tcPr>
            <w:tcW w:w="2832" w:type="dxa"/>
          </w:tcPr>
          <w:p>
            <w:pPr>
              <w:pStyle w:val="TableParagraph"/>
              <w:spacing w:before="121"/>
              <w:ind w:left="110"/>
              <w:rPr>
                <w:sz w:val="22"/>
              </w:rPr>
            </w:pPr>
            <w:r>
              <w:rPr>
                <w:w w:val="115"/>
                <w:sz w:val="22"/>
              </w:rPr>
              <w:t>NZQA Freepost</w:t>
            </w:r>
          </w:p>
        </w:tc>
        <w:tc>
          <w:tcPr>
            <w:tcW w:w="6797" w:type="dxa"/>
            <w:gridSpan w:val="2"/>
          </w:tcPr>
          <w:p>
            <w:pPr>
              <w:pStyle w:val="TableParagraph"/>
              <w:spacing w:before="121"/>
              <w:ind w:left="107"/>
              <w:rPr>
                <w:sz w:val="22"/>
              </w:rPr>
            </w:pPr>
            <w:r>
              <w:rPr>
                <w:w w:val="110"/>
                <w:sz w:val="22"/>
              </w:rPr>
              <w:t>Freepost 3221, PO Box 160, Wellington 6140</w:t>
            </w:r>
          </w:p>
        </w:tc>
      </w:tr>
      <w:tr>
        <w:trPr>
          <w:trHeight w:val="745" w:hRule="atLeast"/>
        </w:trPr>
        <w:tc>
          <w:tcPr>
            <w:tcW w:w="2832" w:type="dxa"/>
          </w:tcPr>
          <w:p>
            <w:pPr>
              <w:pStyle w:val="TableParagraph"/>
              <w:spacing w:before="121"/>
              <w:ind w:left="110" w:right="34"/>
              <w:rPr>
                <w:sz w:val="22"/>
              </w:rPr>
            </w:pPr>
            <w:r>
              <w:rPr>
                <w:w w:val="115"/>
                <w:sz w:val="22"/>
              </w:rPr>
              <w:t>Return delivery address for portfolios</w:t>
            </w:r>
          </w:p>
        </w:tc>
        <w:tc>
          <w:tcPr>
            <w:tcW w:w="6797" w:type="dxa"/>
            <w:gridSpan w:val="2"/>
          </w:tcPr>
          <w:p>
            <w:pPr>
              <w:pStyle w:val="TableParagraph"/>
              <w:spacing w:before="6"/>
              <w:rPr>
                <w:sz w:val="21"/>
              </w:rPr>
            </w:pPr>
          </w:p>
          <w:p>
            <w:pPr>
              <w:pStyle w:val="TableParagraph"/>
              <w:ind w:left="107"/>
              <w:rPr>
                <w:sz w:val="22"/>
              </w:rPr>
            </w:pPr>
            <w:r>
              <w:rPr>
                <w:w w:val="110"/>
                <w:sz w:val="22"/>
              </w:rPr>
              <w:t>NZQA c/o Bluestar, 33 Jackson Street, Petone, Wellington 5012</w:t>
            </w:r>
          </w:p>
        </w:tc>
      </w:tr>
      <w:tr>
        <w:trPr>
          <w:trHeight w:val="494" w:hRule="atLeast"/>
        </w:trPr>
        <w:tc>
          <w:tcPr>
            <w:tcW w:w="2832" w:type="dxa"/>
          </w:tcPr>
          <w:p>
            <w:pPr>
              <w:pStyle w:val="TableParagraph"/>
              <w:spacing w:before="121"/>
              <w:ind w:left="110"/>
              <w:rPr>
                <w:sz w:val="22"/>
              </w:rPr>
            </w:pPr>
            <w:r>
              <w:rPr>
                <w:w w:val="120"/>
                <w:sz w:val="22"/>
              </w:rPr>
              <w:t>CourierPost</w:t>
            </w:r>
          </w:p>
        </w:tc>
        <w:tc>
          <w:tcPr>
            <w:tcW w:w="2976" w:type="dxa"/>
          </w:tcPr>
          <w:p>
            <w:pPr>
              <w:pStyle w:val="TableParagraph"/>
              <w:spacing w:before="121"/>
              <w:ind w:left="107"/>
              <w:rPr>
                <w:sz w:val="22"/>
              </w:rPr>
            </w:pPr>
            <w:r>
              <w:rPr>
                <w:w w:val="110"/>
                <w:sz w:val="22"/>
              </w:rPr>
              <w:t>0800 501 501</w:t>
            </w:r>
          </w:p>
        </w:tc>
        <w:tc>
          <w:tcPr>
            <w:tcW w:w="3821" w:type="dxa"/>
          </w:tcPr>
          <w:p>
            <w:pPr>
              <w:pStyle w:val="TableParagraph"/>
              <w:spacing w:before="121"/>
              <w:ind w:left="109"/>
              <w:rPr>
                <w:sz w:val="22"/>
              </w:rPr>
            </w:pPr>
            <w:hyperlink r:id="rId8">
              <w:r>
                <w:rPr>
                  <w:w w:val="110"/>
                  <w:sz w:val="22"/>
                </w:rPr>
                <w:t>www.courierpost.co.nz</w:t>
              </w:r>
            </w:hyperlink>
          </w:p>
        </w:tc>
      </w:tr>
    </w:tbl>
    <w:p>
      <w:pPr>
        <w:pStyle w:val="BodyText"/>
        <w:spacing w:before="5"/>
        <w:rPr>
          <w:sz w:val="31"/>
        </w:rPr>
      </w:pPr>
    </w:p>
    <w:p>
      <w:pPr>
        <w:pStyle w:val="Heading3"/>
      </w:pPr>
      <w:bookmarkStart w:name="_TOC_250047" w:id="1"/>
      <w:bookmarkEnd w:id="1"/>
      <w:r>
        <w:rPr>
          <w:w w:val="120"/>
        </w:rPr>
        <w:t>Changes to the guide notes and instructions made in recent years</w:t>
      </w:r>
    </w:p>
    <w:p>
      <w:pPr>
        <w:pStyle w:val="ListParagraph"/>
        <w:numPr>
          <w:ilvl w:val="0"/>
          <w:numId w:val="1"/>
        </w:numPr>
        <w:tabs>
          <w:tab w:pos="1105" w:val="left" w:leader="none"/>
          <w:tab w:pos="1106" w:val="left" w:leader="none"/>
        </w:tabs>
        <w:spacing w:line="240" w:lineRule="auto" w:before="135" w:after="0"/>
        <w:ind w:left="1105" w:right="586" w:hanging="355"/>
        <w:jc w:val="left"/>
        <w:rPr>
          <w:sz w:val="22"/>
        </w:rPr>
      </w:pPr>
      <w:r>
        <w:rPr>
          <w:w w:val="110"/>
          <w:sz w:val="22"/>
        </w:rPr>
        <w:t>NZQA removes all address information from its marker contracting system at the start of every year. You must enter addresses in each year. Use the online validation tool to ensure your addresses are entered</w:t>
      </w:r>
      <w:r>
        <w:rPr>
          <w:spacing w:val="2"/>
          <w:w w:val="110"/>
          <w:sz w:val="22"/>
        </w:rPr>
        <w:t> </w:t>
      </w:r>
      <w:r>
        <w:rPr>
          <w:w w:val="110"/>
          <w:sz w:val="22"/>
        </w:rPr>
        <w:t>correctly.</w:t>
      </w:r>
    </w:p>
    <w:p>
      <w:pPr>
        <w:pStyle w:val="ListParagraph"/>
        <w:numPr>
          <w:ilvl w:val="0"/>
          <w:numId w:val="1"/>
        </w:numPr>
        <w:tabs>
          <w:tab w:pos="1105" w:val="left" w:leader="none"/>
          <w:tab w:pos="1106" w:val="left" w:leader="none"/>
        </w:tabs>
        <w:spacing w:line="240" w:lineRule="auto" w:before="134" w:after="0"/>
        <w:ind w:left="1105" w:right="1259" w:hanging="355"/>
        <w:jc w:val="left"/>
        <w:rPr>
          <w:sz w:val="22"/>
        </w:rPr>
      </w:pPr>
      <w:r>
        <w:rPr>
          <w:w w:val="110"/>
          <w:sz w:val="22"/>
        </w:rPr>
        <w:t>If no delivery address was available at the point of contracting, your delivery</w:t>
      </w:r>
      <w:r>
        <w:rPr>
          <w:spacing w:val="-40"/>
          <w:w w:val="110"/>
          <w:sz w:val="22"/>
        </w:rPr>
        <w:t> </w:t>
      </w:r>
      <w:r>
        <w:rPr>
          <w:w w:val="110"/>
          <w:sz w:val="22"/>
        </w:rPr>
        <w:t>address defaulted to your school address. You must ensure that your delivery address is correct.</w:t>
      </w:r>
    </w:p>
    <w:p>
      <w:pPr>
        <w:pStyle w:val="ListParagraph"/>
        <w:numPr>
          <w:ilvl w:val="0"/>
          <w:numId w:val="1"/>
        </w:numPr>
        <w:tabs>
          <w:tab w:pos="1105" w:val="left" w:leader="none"/>
          <w:tab w:pos="1106" w:val="left" w:leader="none"/>
        </w:tabs>
        <w:spacing w:line="240" w:lineRule="auto" w:before="136" w:after="0"/>
        <w:ind w:left="1105" w:right="0" w:hanging="355"/>
        <w:jc w:val="left"/>
        <w:rPr>
          <w:color w:val="702FA0"/>
          <w:sz w:val="22"/>
        </w:rPr>
      </w:pPr>
      <w:r>
        <w:rPr>
          <w:w w:val="110"/>
          <w:sz w:val="22"/>
        </w:rPr>
        <w:t>Cartons are replacing the orange bags used in previous years for the portfolio</w:t>
      </w:r>
      <w:r>
        <w:rPr>
          <w:spacing w:val="36"/>
          <w:w w:val="110"/>
          <w:sz w:val="22"/>
        </w:rPr>
        <w:t> </w:t>
      </w:r>
      <w:r>
        <w:rPr>
          <w:w w:val="110"/>
          <w:sz w:val="22"/>
        </w:rPr>
        <w:t>movements.</w:t>
      </w:r>
    </w:p>
    <w:p>
      <w:pPr>
        <w:pStyle w:val="ListParagraph"/>
        <w:numPr>
          <w:ilvl w:val="0"/>
          <w:numId w:val="1"/>
        </w:numPr>
        <w:tabs>
          <w:tab w:pos="1105" w:val="left" w:leader="none"/>
          <w:tab w:pos="1106" w:val="left" w:leader="none"/>
        </w:tabs>
        <w:spacing w:line="240" w:lineRule="auto" w:before="133" w:after="0"/>
        <w:ind w:left="1105" w:right="712" w:hanging="355"/>
        <w:jc w:val="left"/>
        <w:rPr>
          <w:color w:val="702FA0"/>
          <w:sz w:val="22"/>
        </w:rPr>
      </w:pPr>
      <w:r>
        <w:rPr>
          <w:w w:val="110"/>
          <w:sz w:val="22"/>
        </w:rPr>
        <w:t>Each</w:t>
      </w:r>
      <w:r>
        <w:rPr>
          <w:spacing w:val="-8"/>
          <w:w w:val="110"/>
          <w:sz w:val="22"/>
        </w:rPr>
        <w:t> </w:t>
      </w:r>
      <w:r>
        <w:rPr>
          <w:w w:val="110"/>
          <w:sz w:val="22"/>
        </w:rPr>
        <w:t>carton</w:t>
      </w:r>
      <w:r>
        <w:rPr>
          <w:spacing w:val="-6"/>
          <w:w w:val="110"/>
          <w:sz w:val="22"/>
        </w:rPr>
        <w:t> </w:t>
      </w:r>
      <w:r>
        <w:rPr>
          <w:w w:val="110"/>
          <w:sz w:val="22"/>
        </w:rPr>
        <w:t>of</w:t>
      </w:r>
      <w:r>
        <w:rPr>
          <w:spacing w:val="-5"/>
          <w:w w:val="110"/>
          <w:sz w:val="22"/>
        </w:rPr>
        <w:t> </w:t>
      </w:r>
      <w:r>
        <w:rPr>
          <w:w w:val="110"/>
          <w:sz w:val="22"/>
        </w:rPr>
        <w:t>portfolios</w:t>
      </w:r>
      <w:r>
        <w:rPr>
          <w:spacing w:val="-9"/>
          <w:w w:val="110"/>
          <w:sz w:val="22"/>
        </w:rPr>
        <w:t> </w:t>
      </w:r>
      <w:r>
        <w:rPr>
          <w:w w:val="110"/>
          <w:sz w:val="22"/>
        </w:rPr>
        <w:t>sent</w:t>
      </w:r>
      <w:r>
        <w:rPr>
          <w:spacing w:val="-7"/>
          <w:w w:val="110"/>
          <w:sz w:val="22"/>
        </w:rPr>
        <w:t> </w:t>
      </w:r>
      <w:r>
        <w:rPr>
          <w:w w:val="110"/>
          <w:sz w:val="22"/>
        </w:rPr>
        <w:t>to</w:t>
      </w:r>
      <w:r>
        <w:rPr>
          <w:spacing w:val="-8"/>
          <w:w w:val="110"/>
          <w:sz w:val="22"/>
        </w:rPr>
        <w:t> </w:t>
      </w:r>
      <w:r>
        <w:rPr>
          <w:w w:val="110"/>
          <w:sz w:val="22"/>
        </w:rPr>
        <w:t>you</w:t>
      </w:r>
      <w:r>
        <w:rPr>
          <w:spacing w:val="-7"/>
          <w:w w:val="110"/>
          <w:sz w:val="22"/>
        </w:rPr>
        <w:t> </w:t>
      </w:r>
      <w:r>
        <w:rPr>
          <w:w w:val="110"/>
          <w:sz w:val="22"/>
        </w:rPr>
        <w:t>will</w:t>
      </w:r>
      <w:r>
        <w:rPr>
          <w:spacing w:val="-11"/>
          <w:w w:val="110"/>
          <w:sz w:val="22"/>
        </w:rPr>
        <w:t> </w:t>
      </w:r>
      <w:r>
        <w:rPr>
          <w:w w:val="110"/>
          <w:sz w:val="22"/>
        </w:rPr>
        <w:t>generate</w:t>
      </w:r>
      <w:r>
        <w:rPr>
          <w:spacing w:val="-12"/>
          <w:w w:val="110"/>
          <w:sz w:val="22"/>
        </w:rPr>
        <w:t> </w:t>
      </w:r>
      <w:r>
        <w:rPr>
          <w:w w:val="110"/>
          <w:sz w:val="22"/>
        </w:rPr>
        <w:t>an</w:t>
      </w:r>
      <w:r>
        <w:rPr>
          <w:spacing w:val="-7"/>
          <w:w w:val="110"/>
          <w:sz w:val="22"/>
        </w:rPr>
        <w:t> </w:t>
      </w:r>
      <w:r>
        <w:rPr>
          <w:w w:val="110"/>
          <w:sz w:val="22"/>
        </w:rPr>
        <w:t>email</w:t>
      </w:r>
      <w:r>
        <w:rPr>
          <w:spacing w:val="-10"/>
          <w:w w:val="110"/>
          <w:sz w:val="22"/>
        </w:rPr>
        <w:t> </w:t>
      </w:r>
      <w:r>
        <w:rPr>
          <w:w w:val="110"/>
          <w:sz w:val="22"/>
        </w:rPr>
        <w:t>to</w:t>
      </w:r>
      <w:r>
        <w:rPr>
          <w:spacing w:val="-8"/>
          <w:w w:val="110"/>
          <w:sz w:val="22"/>
        </w:rPr>
        <w:t> </w:t>
      </w:r>
      <w:r>
        <w:rPr>
          <w:w w:val="110"/>
          <w:sz w:val="22"/>
        </w:rPr>
        <w:t>you.</w:t>
      </w:r>
      <w:r>
        <w:rPr>
          <w:spacing w:val="-7"/>
          <w:w w:val="110"/>
          <w:sz w:val="22"/>
        </w:rPr>
        <w:t> </w:t>
      </w:r>
      <w:r>
        <w:rPr>
          <w:w w:val="110"/>
          <w:sz w:val="22"/>
        </w:rPr>
        <w:t>The</w:t>
      </w:r>
      <w:r>
        <w:rPr>
          <w:spacing w:val="-9"/>
          <w:w w:val="110"/>
          <w:sz w:val="22"/>
        </w:rPr>
        <w:t> </w:t>
      </w:r>
      <w:r>
        <w:rPr>
          <w:w w:val="110"/>
          <w:sz w:val="22"/>
        </w:rPr>
        <w:t>email</w:t>
      </w:r>
      <w:r>
        <w:rPr>
          <w:spacing w:val="-8"/>
          <w:w w:val="110"/>
          <w:sz w:val="22"/>
        </w:rPr>
        <w:t> </w:t>
      </w:r>
      <w:r>
        <w:rPr>
          <w:w w:val="110"/>
          <w:sz w:val="22"/>
        </w:rPr>
        <w:t>will</w:t>
      </w:r>
      <w:r>
        <w:rPr>
          <w:spacing w:val="-10"/>
          <w:w w:val="110"/>
          <w:sz w:val="22"/>
        </w:rPr>
        <w:t> </w:t>
      </w:r>
      <w:r>
        <w:rPr>
          <w:w w:val="110"/>
          <w:sz w:val="22"/>
        </w:rPr>
        <w:t>contain</w:t>
      </w:r>
      <w:r>
        <w:rPr>
          <w:spacing w:val="-9"/>
          <w:w w:val="110"/>
          <w:sz w:val="22"/>
        </w:rPr>
        <w:t> </w:t>
      </w:r>
      <w:r>
        <w:rPr>
          <w:w w:val="110"/>
          <w:sz w:val="22"/>
        </w:rPr>
        <w:t>a tracking number and a link to the</w:t>
      </w:r>
      <w:r>
        <w:rPr>
          <w:color w:val="0000FF"/>
          <w:w w:val="110"/>
          <w:sz w:val="22"/>
        </w:rPr>
        <w:t> </w:t>
      </w:r>
      <w:r>
        <w:rPr>
          <w:color w:val="0000FF"/>
          <w:w w:val="110"/>
          <w:sz w:val="22"/>
          <w:u w:val="single" w:color="0000FF"/>
        </w:rPr>
        <w:t>CourierPost tracking</w:t>
      </w:r>
      <w:r>
        <w:rPr>
          <w:color w:val="0000FF"/>
          <w:spacing w:val="-6"/>
          <w:w w:val="110"/>
          <w:sz w:val="22"/>
          <w:u w:val="single" w:color="0000FF"/>
        </w:rPr>
        <w:t> </w:t>
      </w:r>
      <w:r>
        <w:rPr>
          <w:color w:val="0000FF"/>
          <w:w w:val="110"/>
          <w:sz w:val="22"/>
          <w:u w:val="single" w:color="0000FF"/>
        </w:rPr>
        <w:t>website.</w:t>
      </w:r>
    </w:p>
    <w:p>
      <w:pPr>
        <w:pStyle w:val="ListParagraph"/>
        <w:numPr>
          <w:ilvl w:val="0"/>
          <w:numId w:val="1"/>
        </w:numPr>
        <w:tabs>
          <w:tab w:pos="1105" w:val="left" w:leader="none"/>
          <w:tab w:pos="1106" w:val="left" w:leader="none"/>
        </w:tabs>
        <w:spacing w:line="252" w:lineRule="exact" w:before="135" w:after="0"/>
        <w:ind w:left="1105" w:right="0" w:hanging="355"/>
        <w:jc w:val="left"/>
        <w:rPr>
          <w:color w:val="702FA0"/>
          <w:sz w:val="22"/>
        </w:rPr>
      </w:pPr>
      <w:r>
        <w:rPr>
          <w:w w:val="110"/>
          <w:sz w:val="22"/>
        </w:rPr>
        <w:t>Attach</w:t>
      </w:r>
      <w:r>
        <w:rPr>
          <w:spacing w:val="5"/>
          <w:w w:val="110"/>
          <w:sz w:val="22"/>
        </w:rPr>
        <w:t> </w:t>
      </w:r>
      <w:r>
        <w:rPr>
          <w:w w:val="110"/>
          <w:sz w:val="22"/>
        </w:rPr>
        <w:t>the</w:t>
      </w:r>
      <w:r>
        <w:rPr>
          <w:spacing w:val="5"/>
          <w:w w:val="110"/>
          <w:sz w:val="22"/>
        </w:rPr>
        <w:t> </w:t>
      </w:r>
      <w:r>
        <w:rPr>
          <w:w w:val="110"/>
          <w:sz w:val="22"/>
        </w:rPr>
        <w:t>Customer</w:t>
      </w:r>
      <w:r>
        <w:rPr>
          <w:spacing w:val="7"/>
          <w:w w:val="110"/>
          <w:sz w:val="22"/>
        </w:rPr>
        <w:t> </w:t>
      </w:r>
      <w:r>
        <w:rPr>
          <w:w w:val="110"/>
          <w:sz w:val="22"/>
        </w:rPr>
        <w:t>Use</w:t>
      </w:r>
      <w:r>
        <w:rPr>
          <w:spacing w:val="8"/>
          <w:w w:val="110"/>
          <w:sz w:val="22"/>
        </w:rPr>
        <w:t> </w:t>
      </w:r>
      <w:r>
        <w:rPr>
          <w:w w:val="110"/>
          <w:sz w:val="22"/>
        </w:rPr>
        <w:t>label</w:t>
      </w:r>
      <w:r>
        <w:rPr>
          <w:spacing w:val="7"/>
          <w:w w:val="110"/>
          <w:sz w:val="22"/>
        </w:rPr>
        <w:t> </w:t>
      </w:r>
      <w:r>
        <w:rPr>
          <w:w w:val="110"/>
          <w:sz w:val="22"/>
        </w:rPr>
        <w:t>of</w:t>
      </w:r>
      <w:r>
        <w:rPr>
          <w:spacing w:val="8"/>
          <w:w w:val="110"/>
          <w:sz w:val="22"/>
        </w:rPr>
        <w:t> </w:t>
      </w:r>
      <w:r>
        <w:rPr>
          <w:w w:val="110"/>
          <w:sz w:val="22"/>
        </w:rPr>
        <w:t>the</w:t>
      </w:r>
      <w:r>
        <w:rPr>
          <w:spacing w:val="6"/>
          <w:w w:val="110"/>
          <w:sz w:val="22"/>
        </w:rPr>
        <w:t> </w:t>
      </w:r>
      <w:r>
        <w:rPr>
          <w:w w:val="110"/>
          <w:sz w:val="22"/>
        </w:rPr>
        <w:t>courier</w:t>
      </w:r>
      <w:r>
        <w:rPr>
          <w:spacing w:val="7"/>
          <w:w w:val="110"/>
          <w:sz w:val="22"/>
        </w:rPr>
        <w:t> </w:t>
      </w:r>
      <w:r>
        <w:rPr>
          <w:w w:val="110"/>
          <w:sz w:val="22"/>
        </w:rPr>
        <w:t>tickets</w:t>
      </w:r>
      <w:r>
        <w:rPr>
          <w:spacing w:val="7"/>
          <w:w w:val="110"/>
          <w:sz w:val="22"/>
        </w:rPr>
        <w:t> </w:t>
      </w:r>
      <w:r>
        <w:rPr>
          <w:w w:val="110"/>
          <w:sz w:val="22"/>
        </w:rPr>
        <w:t>to</w:t>
      </w:r>
      <w:r>
        <w:rPr>
          <w:spacing w:val="5"/>
          <w:w w:val="110"/>
          <w:sz w:val="22"/>
        </w:rPr>
        <w:t> </w:t>
      </w:r>
      <w:r>
        <w:rPr>
          <w:w w:val="110"/>
          <w:sz w:val="22"/>
        </w:rPr>
        <w:t>the</w:t>
      </w:r>
      <w:r>
        <w:rPr>
          <w:spacing w:val="10"/>
          <w:w w:val="110"/>
          <w:sz w:val="22"/>
        </w:rPr>
        <w:t> </w:t>
      </w:r>
      <w:r>
        <w:rPr>
          <w:w w:val="110"/>
          <w:sz w:val="22"/>
        </w:rPr>
        <w:t>Answer</w:t>
      </w:r>
      <w:r>
        <w:rPr>
          <w:spacing w:val="7"/>
          <w:w w:val="110"/>
          <w:sz w:val="22"/>
        </w:rPr>
        <w:t> </w:t>
      </w:r>
      <w:r>
        <w:rPr>
          <w:w w:val="110"/>
          <w:sz w:val="22"/>
        </w:rPr>
        <w:t>Booklet</w:t>
      </w:r>
      <w:r>
        <w:rPr>
          <w:spacing w:val="9"/>
          <w:w w:val="110"/>
          <w:sz w:val="22"/>
        </w:rPr>
        <w:t> </w:t>
      </w:r>
      <w:r>
        <w:rPr>
          <w:w w:val="110"/>
          <w:sz w:val="22"/>
        </w:rPr>
        <w:t>Control</w:t>
      </w:r>
      <w:r>
        <w:rPr>
          <w:spacing w:val="4"/>
          <w:w w:val="110"/>
          <w:sz w:val="22"/>
        </w:rPr>
        <w:t> </w:t>
      </w:r>
      <w:r>
        <w:rPr>
          <w:w w:val="110"/>
          <w:sz w:val="22"/>
        </w:rPr>
        <w:t>Sheet.</w:t>
      </w:r>
    </w:p>
    <w:p>
      <w:pPr>
        <w:pStyle w:val="BodyText"/>
        <w:ind w:left="1105" w:right="769"/>
      </w:pPr>
      <w:r>
        <w:rPr>
          <w:w w:val="105"/>
        </w:rPr>
        <w:t>A separate courier tracking sheet will not be provided. This differs from the information provided on the online </w:t>
      </w:r>
      <w:r>
        <w:rPr>
          <w:color w:val="0000FF"/>
          <w:w w:val="105"/>
          <w:u w:val="single" w:color="0000FF"/>
        </w:rPr>
        <w:t>Marking Processes and Administration Movie.</w:t>
      </w:r>
    </w:p>
    <w:p>
      <w:pPr>
        <w:pStyle w:val="ListParagraph"/>
        <w:numPr>
          <w:ilvl w:val="0"/>
          <w:numId w:val="1"/>
        </w:numPr>
        <w:tabs>
          <w:tab w:pos="1105" w:val="left" w:leader="none"/>
          <w:tab w:pos="1106" w:val="left" w:leader="none"/>
        </w:tabs>
        <w:spacing w:line="240" w:lineRule="auto" w:before="137" w:after="0"/>
        <w:ind w:left="1105" w:right="0" w:hanging="355"/>
        <w:jc w:val="left"/>
        <w:rPr>
          <w:color w:val="702FA0"/>
          <w:sz w:val="22"/>
        </w:rPr>
      </w:pPr>
      <w:r>
        <w:rPr>
          <w:w w:val="110"/>
          <w:sz w:val="22"/>
        </w:rPr>
        <w:t>You must use the online</w:t>
      </w:r>
      <w:r>
        <w:rPr>
          <w:color w:val="0000FF"/>
          <w:w w:val="110"/>
          <w:sz w:val="22"/>
        </w:rPr>
        <w:t> </w:t>
      </w:r>
      <w:r>
        <w:rPr>
          <w:color w:val="0000FF"/>
          <w:w w:val="110"/>
          <w:sz w:val="22"/>
          <w:u w:val="single" w:color="0000FF"/>
        </w:rPr>
        <w:t>Pre-approved Travel</w:t>
      </w:r>
      <w:r>
        <w:rPr>
          <w:color w:val="0000FF"/>
          <w:spacing w:val="1"/>
          <w:w w:val="110"/>
          <w:sz w:val="22"/>
          <w:u w:val="single" w:color="0000FF"/>
        </w:rPr>
        <w:t> </w:t>
      </w:r>
      <w:r>
        <w:rPr>
          <w:color w:val="0000FF"/>
          <w:w w:val="110"/>
          <w:sz w:val="22"/>
          <w:u w:val="single" w:color="0000FF"/>
        </w:rPr>
        <w:t>Form</w:t>
      </w:r>
      <w:r>
        <w:rPr>
          <w:color w:val="0000FF"/>
          <w:w w:val="110"/>
          <w:sz w:val="22"/>
        </w:rPr>
        <w:t>.</w:t>
      </w:r>
    </w:p>
    <w:p>
      <w:pPr>
        <w:pStyle w:val="ListParagraph"/>
        <w:numPr>
          <w:ilvl w:val="0"/>
          <w:numId w:val="1"/>
        </w:numPr>
        <w:tabs>
          <w:tab w:pos="1105" w:val="left" w:leader="none"/>
          <w:tab w:pos="1106" w:val="left" w:leader="none"/>
        </w:tabs>
        <w:spacing w:line="240" w:lineRule="auto" w:before="134" w:after="0"/>
        <w:ind w:left="1105" w:right="0" w:hanging="355"/>
        <w:jc w:val="left"/>
        <w:rPr>
          <w:sz w:val="24"/>
        </w:rPr>
      </w:pPr>
      <w:r>
        <w:rPr>
          <w:w w:val="110"/>
          <w:sz w:val="22"/>
        </w:rPr>
        <w:t>Markers must complete an</w:t>
      </w:r>
      <w:r>
        <w:rPr>
          <w:color w:val="0000FF"/>
          <w:w w:val="110"/>
          <w:sz w:val="22"/>
        </w:rPr>
        <w:t> </w:t>
      </w:r>
      <w:r>
        <w:rPr>
          <w:color w:val="0000FF"/>
          <w:w w:val="110"/>
          <w:sz w:val="22"/>
          <w:u w:val="single" w:color="0000FF"/>
        </w:rPr>
        <w:t>Online Marker Evaluation</w:t>
      </w:r>
      <w:r>
        <w:rPr>
          <w:color w:val="0000FF"/>
          <w:spacing w:val="-10"/>
          <w:w w:val="110"/>
          <w:sz w:val="22"/>
          <w:u w:val="single" w:color="0000FF"/>
        </w:rPr>
        <w:t> </w:t>
      </w:r>
      <w:r>
        <w:rPr>
          <w:color w:val="0000FF"/>
          <w:w w:val="110"/>
          <w:sz w:val="22"/>
          <w:u w:val="single" w:color="0000FF"/>
        </w:rPr>
        <w:t>Form.</w:t>
      </w:r>
    </w:p>
    <w:p>
      <w:pPr>
        <w:pStyle w:val="ListParagraph"/>
        <w:numPr>
          <w:ilvl w:val="0"/>
          <w:numId w:val="1"/>
        </w:numPr>
        <w:tabs>
          <w:tab w:pos="1105" w:val="left" w:leader="none"/>
          <w:tab w:pos="1106" w:val="left" w:leader="none"/>
        </w:tabs>
        <w:spacing w:line="240" w:lineRule="auto" w:before="131" w:after="0"/>
        <w:ind w:left="1105" w:right="0" w:hanging="355"/>
        <w:jc w:val="left"/>
        <w:rPr>
          <w:color w:val="702FA0"/>
          <w:sz w:val="22"/>
        </w:rPr>
      </w:pPr>
      <w:r>
        <w:rPr>
          <w:w w:val="110"/>
          <w:sz w:val="22"/>
        </w:rPr>
        <w:t>Courier pick-ups can be booked using an</w:t>
      </w:r>
      <w:r>
        <w:rPr>
          <w:color w:val="0000FF"/>
          <w:w w:val="110"/>
          <w:sz w:val="22"/>
        </w:rPr>
        <w:t> </w:t>
      </w:r>
      <w:r>
        <w:rPr>
          <w:color w:val="0000FF"/>
          <w:w w:val="110"/>
          <w:sz w:val="22"/>
          <w:u w:val="single" w:color="0000FF"/>
        </w:rPr>
        <w:t>online tool.</w:t>
      </w:r>
    </w:p>
    <w:p>
      <w:pPr>
        <w:pStyle w:val="ListParagraph"/>
        <w:numPr>
          <w:ilvl w:val="0"/>
          <w:numId w:val="1"/>
        </w:numPr>
        <w:tabs>
          <w:tab w:pos="1105" w:val="left" w:leader="none"/>
          <w:tab w:pos="1106" w:val="left" w:leader="none"/>
        </w:tabs>
        <w:spacing w:line="240" w:lineRule="auto" w:before="136" w:after="0"/>
        <w:ind w:left="1105" w:right="940" w:hanging="355"/>
        <w:jc w:val="left"/>
        <w:rPr>
          <w:sz w:val="22"/>
        </w:rPr>
      </w:pPr>
      <w:r>
        <w:rPr>
          <w:w w:val="110"/>
          <w:sz w:val="22"/>
        </w:rPr>
        <w:t>Forms will be provided only in these Guide Notes and Instructions. Separate versions of forms will not be provided</w:t>
      </w:r>
      <w:r>
        <w:rPr>
          <w:spacing w:val="-1"/>
          <w:w w:val="110"/>
          <w:sz w:val="22"/>
        </w:rPr>
        <w:t> </w:t>
      </w:r>
      <w:r>
        <w:rPr>
          <w:w w:val="110"/>
          <w:sz w:val="22"/>
        </w:rPr>
        <w:t>online.</w:t>
      </w:r>
    </w:p>
    <w:p>
      <w:pPr>
        <w:pStyle w:val="ListParagraph"/>
        <w:numPr>
          <w:ilvl w:val="0"/>
          <w:numId w:val="1"/>
        </w:numPr>
        <w:tabs>
          <w:tab w:pos="1111" w:val="left" w:leader="none"/>
          <w:tab w:pos="1112" w:val="left" w:leader="none"/>
        </w:tabs>
        <w:spacing w:line="240" w:lineRule="auto" w:before="135" w:after="0"/>
        <w:ind w:left="1111" w:right="0" w:hanging="359"/>
        <w:jc w:val="left"/>
        <w:rPr>
          <w:sz w:val="22"/>
        </w:rPr>
      </w:pPr>
      <w:r>
        <w:rPr>
          <w:w w:val="110"/>
          <w:sz w:val="22"/>
        </w:rPr>
        <w:t>Printlink is now known as Bluestar (sorting</w:t>
      </w:r>
      <w:r>
        <w:rPr>
          <w:spacing w:val="-5"/>
          <w:w w:val="110"/>
          <w:sz w:val="22"/>
        </w:rPr>
        <w:t> </w:t>
      </w:r>
      <w:r>
        <w:rPr>
          <w:w w:val="110"/>
          <w:sz w:val="22"/>
        </w:rPr>
        <w:t>vendor).</w:t>
      </w:r>
    </w:p>
    <w:p>
      <w:pPr>
        <w:pStyle w:val="BodyText"/>
        <w:spacing w:before="2"/>
        <w:rPr>
          <w:sz w:val="31"/>
        </w:rPr>
      </w:pPr>
    </w:p>
    <w:p>
      <w:pPr>
        <w:pStyle w:val="BodyText"/>
        <w:ind w:left="750"/>
      </w:pPr>
      <w:r>
        <w:rPr>
          <w:w w:val="115"/>
        </w:rPr>
        <w:t>Communication</w:t>
      </w:r>
    </w:p>
    <w:p>
      <w:pPr>
        <w:pStyle w:val="ListParagraph"/>
        <w:numPr>
          <w:ilvl w:val="0"/>
          <w:numId w:val="1"/>
        </w:numPr>
        <w:tabs>
          <w:tab w:pos="1105" w:val="left" w:leader="none"/>
          <w:tab w:pos="1106" w:val="left" w:leader="none"/>
        </w:tabs>
        <w:spacing w:line="240" w:lineRule="auto" w:before="136" w:after="0"/>
        <w:ind w:left="1105" w:right="562" w:hanging="355"/>
        <w:jc w:val="left"/>
        <w:rPr>
          <w:sz w:val="22"/>
        </w:rPr>
      </w:pPr>
      <w:r>
        <w:rPr>
          <w:w w:val="110"/>
          <w:sz w:val="22"/>
        </w:rPr>
        <w:t>NZQA may communicate with you by email, phone, text, or through messages published</w:t>
      </w:r>
      <w:r>
        <w:rPr>
          <w:spacing w:val="-42"/>
          <w:w w:val="110"/>
          <w:sz w:val="22"/>
        </w:rPr>
        <w:t> </w:t>
      </w:r>
      <w:r>
        <w:rPr>
          <w:w w:val="110"/>
          <w:sz w:val="22"/>
        </w:rPr>
        <w:t>on the Marker Home</w:t>
      </w:r>
      <w:r>
        <w:rPr>
          <w:spacing w:val="3"/>
          <w:w w:val="110"/>
          <w:sz w:val="22"/>
        </w:rPr>
        <w:t> </w:t>
      </w:r>
      <w:r>
        <w:rPr>
          <w:w w:val="110"/>
          <w:sz w:val="22"/>
        </w:rPr>
        <w:t>page.</w:t>
      </w:r>
    </w:p>
    <w:p>
      <w:pPr>
        <w:pStyle w:val="ListParagraph"/>
        <w:numPr>
          <w:ilvl w:val="0"/>
          <w:numId w:val="1"/>
        </w:numPr>
        <w:tabs>
          <w:tab w:pos="1105" w:val="left" w:leader="none"/>
          <w:tab w:pos="1106" w:val="left" w:leader="none"/>
        </w:tabs>
        <w:spacing w:line="240" w:lineRule="auto" w:before="135" w:after="0"/>
        <w:ind w:left="1105" w:right="733" w:hanging="355"/>
        <w:jc w:val="left"/>
        <w:rPr>
          <w:sz w:val="22"/>
        </w:rPr>
      </w:pPr>
      <w:r>
        <w:rPr>
          <w:w w:val="110"/>
          <w:sz w:val="22"/>
        </w:rPr>
        <w:t>If you have any questions relating to the content of these guide notes, please contact your national assessment facilitator on 0800 222 230 (Marker</w:t>
      </w:r>
      <w:r>
        <w:rPr>
          <w:spacing w:val="-6"/>
          <w:w w:val="110"/>
          <w:sz w:val="22"/>
        </w:rPr>
        <w:t> </w:t>
      </w:r>
      <w:r>
        <w:rPr>
          <w:w w:val="110"/>
          <w:sz w:val="22"/>
        </w:rPr>
        <w:t>Helpline).</w:t>
      </w:r>
    </w:p>
    <w:p>
      <w:pPr>
        <w:pStyle w:val="ListParagraph"/>
        <w:numPr>
          <w:ilvl w:val="0"/>
          <w:numId w:val="1"/>
        </w:numPr>
        <w:tabs>
          <w:tab w:pos="1105" w:val="left" w:leader="none"/>
          <w:tab w:pos="1106" w:val="left" w:leader="none"/>
        </w:tabs>
        <w:spacing w:line="240" w:lineRule="auto" w:before="135" w:after="0"/>
        <w:ind w:left="1105" w:right="906" w:hanging="355"/>
        <w:jc w:val="left"/>
        <w:rPr>
          <w:sz w:val="22"/>
        </w:rPr>
      </w:pPr>
      <w:r>
        <w:rPr>
          <w:w w:val="110"/>
          <w:sz w:val="22"/>
        </w:rPr>
        <w:t>If you need cartons, stationery, or for general administrative queries, contact the marker helpline on 0800 222</w:t>
      </w:r>
      <w:r>
        <w:rPr>
          <w:spacing w:val="3"/>
          <w:w w:val="110"/>
          <w:sz w:val="22"/>
        </w:rPr>
        <w:t> </w:t>
      </w:r>
      <w:r>
        <w:rPr>
          <w:w w:val="110"/>
          <w:sz w:val="22"/>
        </w:rPr>
        <w:t>230.</w:t>
      </w:r>
    </w:p>
    <w:p>
      <w:pPr>
        <w:pStyle w:val="ListParagraph"/>
        <w:numPr>
          <w:ilvl w:val="0"/>
          <w:numId w:val="1"/>
        </w:numPr>
        <w:tabs>
          <w:tab w:pos="1105" w:val="left" w:leader="none"/>
          <w:tab w:pos="1106" w:val="left" w:leader="none"/>
        </w:tabs>
        <w:spacing w:line="240" w:lineRule="auto" w:before="135" w:after="0"/>
        <w:ind w:left="1105" w:right="0" w:hanging="355"/>
        <w:jc w:val="left"/>
        <w:rPr>
          <w:sz w:val="22"/>
        </w:rPr>
      </w:pPr>
      <w:r>
        <w:rPr>
          <w:w w:val="110"/>
          <w:sz w:val="22"/>
        </w:rPr>
        <w:t>The CourierPost contact number is 0800 501</w:t>
      </w:r>
      <w:r>
        <w:rPr>
          <w:spacing w:val="9"/>
          <w:w w:val="110"/>
          <w:sz w:val="22"/>
        </w:rPr>
        <w:t> </w:t>
      </w:r>
      <w:r>
        <w:rPr>
          <w:w w:val="110"/>
          <w:sz w:val="22"/>
        </w:rPr>
        <w:t>501.</w:t>
      </w:r>
    </w:p>
    <w:p>
      <w:pPr>
        <w:spacing w:after="0" w:line="240" w:lineRule="auto"/>
        <w:jc w:val="left"/>
        <w:rPr>
          <w:sz w:val="22"/>
        </w:rPr>
        <w:sectPr>
          <w:pgSz w:w="11910" w:h="16840"/>
          <w:pgMar w:header="0" w:footer="863" w:top="1040" w:bottom="1060" w:left="740" w:right="580"/>
        </w:sectPr>
      </w:pPr>
    </w:p>
    <w:p>
      <w:pPr>
        <w:pStyle w:val="Heading1"/>
      </w:pPr>
      <w:bookmarkStart w:name="_TOC_250046" w:id="2"/>
      <w:r>
        <w:rPr/>
        <w:t>GENERAL INFORMATION FOR ALL</w:t>
      </w:r>
      <w:r>
        <w:rPr>
          <w:spacing w:val="59"/>
        </w:rPr>
        <w:t> </w:t>
      </w:r>
      <w:bookmarkEnd w:id="2"/>
      <w:r>
        <w:rPr/>
        <w:t>MARKERS</w:t>
      </w:r>
    </w:p>
    <w:p>
      <w:pPr>
        <w:pStyle w:val="Heading3"/>
        <w:spacing w:before="255"/>
      </w:pPr>
      <w:bookmarkStart w:name="_TOC_250045" w:id="3"/>
      <w:bookmarkEnd w:id="3"/>
      <w:r>
        <w:rPr>
          <w:w w:val="120"/>
        </w:rPr>
        <w:t>Portfolio submission date</w:t>
      </w:r>
    </w:p>
    <w:p>
      <w:pPr>
        <w:pStyle w:val="BodyText"/>
        <w:spacing w:before="120"/>
        <w:ind w:left="392"/>
      </w:pPr>
      <w:r>
        <w:rPr>
          <w:w w:val="110"/>
        </w:rPr>
        <w:t>The date for the submission of portfolios is Wednesday, 30 October 2019.</w:t>
      </w:r>
    </w:p>
    <w:p>
      <w:pPr>
        <w:pStyle w:val="BodyText"/>
        <w:spacing w:before="1"/>
      </w:pPr>
    </w:p>
    <w:p>
      <w:pPr>
        <w:pStyle w:val="Heading3"/>
      </w:pPr>
      <w:bookmarkStart w:name="_TOC_250044" w:id="4"/>
      <w:bookmarkEnd w:id="4"/>
      <w:r>
        <w:rPr>
          <w:w w:val="115"/>
        </w:rPr>
        <w:t>Marker responsibilities</w:t>
      </w:r>
    </w:p>
    <w:p>
      <w:pPr>
        <w:pStyle w:val="BodyText"/>
        <w:spacing w:before="118"/>
        <w:ind w:left="392"/>
      </w:pPr>
      <w:r>
        <w:rPr>
          <w:w w:val="110"/>
        </w:rPr>
        <w:t>Markers need to be available for marking until Friday 20 December 2019, and are required to:</w:t>
      </w:r>
    </w:p>
    <w:p>
      <w:pPr>
        <w:pStyle w:val="ListParagraph"/>
        <w:numPr>
          <w:ilvl w:val="0"/>
          <w:numId w:val="2"/>
        </w:numPr>
        <w:tabs>
          <w:tab w:pos="749" w:val="left" w:leader="none"/>
          <w:tab w:pos="750" w:val="left" w:leader="none"/>
        </w:tabs>
        <w:spacing w:line="240" w:lineRule="auto" w:before="76" w:after="0"/>
        <w:ind w:left="750" w:right="0" w:hanging="358"/>
        <w:jc w:val="left"/>
        <w:rPr>
          <w:sz w:val="22"/>
        </w:rPr>
      </w:pPr>
      <w:r>
        <w:rPr>
          <w:w w:val="105"/>
          <w:sz w:val="22"/>
        </w:rPr>
        <w:t>receive</w:t>
      </w:r>
      <w:r>
        <w:rPr>
          <w:spacing w:val="2"/>
          <w:w w:val="105"/>
          <w:sz w:val="22"/>
        </w:rPr>
        <w:t> </w:t>
      </w:r>
      <w:r>
        <w:rPr>
          <w:w w:val="105"/>
          <w:sz w:val="22"/>
        </w:rPr>
        <w:t>portfolios</w:t>
      </w:r>
    </w:p>
    <w:p>
      <w:pPr>
        <w:pStyle w:val="ListParagraph"/>
        <w:numPr>
          <w:ilvl w:val="0"/>
          <w:numId w:val="2"/>
        </w:numPr>
        <w:tabs>
          <w:tab w:pos="749" w:val="left" w:leader="none"/>
          <w:tab w:pos="750" w:val="left" w:leader="none"/>
        </w:tabs>
        <w:spacing w:line="240" w:lineRule="auto" w:before="75" w:after="0"/>
        <w:ind w:left="750" w:right="0" w:hanging="358"/>
        <w:jc w:val="left"/>
        <w:rPr>
          <w:sz w:val="22"/>
        </w:rPr>
      </w:pPr>
      <w:r>
        <w:rPr>
          <w:w w:val="115"/>
          <w:sz w:val="22"/>
        </w:rPr>
        <w:t>attend a panel</w:t>
      </w:r>
      <w:r>
        <w:rPr>
          <w:spacing w:val="-12"/>
          <w:w w:val="115"/>
          <w:sz w:val="22"/>
        </w:rPr>
        <w:t> </w:t>
      </w:r>
      <w:r>
        <w:rPr>
          <w:w w:val="115"/>
          <w:sz w:val="22"/>
        </w:rPr>
        <w:t>meeting</w:t>
      </w:r>
    </w:p>
    <w:p>
      <w:pPr>
        <w:pStyle w:val="ListParagraph"/>
        <w:numPr>
          <w:ilvl w:val="0"/>
          <w:numId w:val="2"/>
        </w:numPr>
        <w:tabs>
          <w:tab w:pos="749" w:val="left" w:leader="none"/>
          <w:tab w:pos="750" w:val="left" w:leader="none"/>
        </w:tabs>
        <w:spacing w:line="252" w:lineRule="exact" w:before="74" w:after="0"/>
        <w:ind w:left="750" w:right="0" w:hanging="358"/>
        <w:jc w:val="left"/>
        <w:rPr>
          <w:sz w:val="22"/>
        </w:rPr>
      </w:pPr>
      <w:r>
        <w:rPr>
          <w:w w:val="115"/>
          <w:sz w:val="22"/>
        </w:rPr>
        <w:t>assess</w:t>
      </w:r>
      <w:r>
        <w:rPr>
          <w:spacing w:val="-8"/>
          <w:w w:val="115"/>
          <w:sz w:val="22"/>
        </w:rPr>
        <w:t> </w:t>
      </w:r>
      <w:r>
        <w:rPr>
          <w:w w:val="115"/>
          <w:sz w:val="22"/>
        </w:rPr>
        <w:t>portfolios</w:t>
      </w:r>
      <w:r>
        <w:rPr>
          <w:spacing w:val="-7"/>
          <w:w w:val="115"/>
          <w:sz w:val="22"/>
        </w:rPr>
        <w:t> </w:t>
      </w:r>
      <w:r>
        <w:rPr>
          <w:w w:val="115"/>
          <w:sz w:val="22"/>
        </w:rPr>
        <w:t>according</w:t>
      </w:r>
      <w:r>
        <w:rPr>
          <w:spacing w:val="-8"/>
          <w:w w:val="115"/>
          <w:sz w:val="22"/>
        </w:rPr>
        <w:t> </w:t>
      </w:r>
      <w:r>
        <w:rPr>
          <w:w w:val="115"/>
          <w:sz w:val="22"/>
        </w:rPr>
        <w:t>to</w:t>
      </w:r>
      <w:r>
        <w:rPr>
          <w:spacing w:val="-8"/>
          <w:w w:val="115"/>
          <w:sz w:val="22"/>
        </w:rPr>
        <w:t> </w:t>
      </w:r>
      <w:r>
        <w:rPr>
          <w:w w:val="115"/>
          <w:sz w:val="22"/>
        </w:rPr>
        <w:t>the</w:t>
      </w:r>
      <w:r>
        <w:rPr>
          <w:spacing w:val="-9"/>
          <w:w w:val="115"/>
          <w:sz w:val="22"/>
        </w:rPr>
        <w:t> </w:t>
      </w:r>
      <w:r>
        <w:rPr>
          <w:w w:val="115"/>
          <w:sz w:val="22"/>
        </w:rPr>
        <w:t>assessment</w:t>
      </w:r>
      <w:r>
        <w:rPr>
          <w:spacing w:val="-4"/>
          <w:w w:val="115"/>
          <w:sz w:val="22"/>
        </w:rPr>
        <w:t> </w:t>
      </w:r>
      <w:r>
        <w:rPr>
          <w:w w:val="115"/>
          <w:sz w:val="22"/>
        </w:rPr>
        <w:t>schedule,</w:t>
      </w:r>
      <w:r>
        <w:rPr>
          <w:spacing w:val="-5"/>
          <w:w w:val="115"/>
          <w:sz w:val="22"/>
        </w:rPr>
        <w:t> </w:t>
      </w:r>
      <w:r>
        <w:rPr>
          <w:w w:val="115"/>
          <w:sz w:val="22"/>
        </w:rPr>
        <w:t>panel</w:t>
      </w:r>
      <w:r>
        <w:rPr>
          <w:spacing w:val="-8"/>
          <w:w w:val="115"/>
          <w:sz w:val="22"/>
        </w:rPr>
        <w:t> </w:t>
      </w:r>
      <w:r>
        <w:rPr>
          <w:w w:val="115"/>
          <w:sz w:val="22"/>
        </w:rPr>
        <w:t>leader</w:t>
      </w:r>
      <w:r>
        <w:rPr>
          <w:spacing w:val="-7"/>
          <w:w w:val="115"/>
          <w:sz w:val="22"/>
        </w:rPr>
        <w:t> </w:t>
      </w:r>
      <w:r>
        <w:rPr>
          <w:w w:val="115"/>
          <w:sz w:val="22"/>
        </w:rPr>
        <w:t>instructions,</w:t>
      </w:r>
      <w:r>
        <w:rPr>
          <w:spacing w:val="-5"/>
          <w:w w:val="115"/>
          <w:sz w:val="22"/>
        </w:rPr>
        <w:t> </w:t>
      </w:r>
      <w:r>
        <w:rPr>
          <w:w w:val="115"/>
          <w:sz w:val="22"/>
        </w:rPr>
        <w:t>and</w:t>
      </w:r>
      <w:r>
        <w:rPr>
          <w:spacing w:val="-8"/>
          <w:w w:val="115"/>
          <w:sz w:val="22"/>
        </w:rPr>
        <w:t> </w:t>
      </w:r>
      <w:r>
        <w:rPr>
          <w:w w:val="115"/>
          <w:sz w:val="22"/>
        </w:rPr>
        <w:t>these</w:t>
      </w:r>
    </w:p>
    <w:p>
      <w:pPr>
        <w:pStyle w:val="BodyText"/>
        <w:spacing w:line="252" w:lineRule="exact"/>
        <w:ind w:left="736" w:right="6983"/>
        <w:jc w:val="center"/>
      </w:pPr>
      <w:r>
        <w:rPr>
          <w:w w:val="110"/>
        </w:rPr>
        <w:t>Guide Notes and Instructions</w:t>
      </w:r>
    </w:p>
    <w:p>
      <w:pPr>
        <w:pStyle w:val="ListParagraph"/>
        <w:numPr>
          <w:ilvl w:val="0"/>
          <w:numId w:val="2"/>
        </w:numPr>
        <w:tabs>
          <w:tab w:pos="749" w:val="left" w:leader="none"/>
          <w:tab w:pos="750" w:val="left" w:leader="none"/>
        </w:tabs>
        <w:spacing w:line="240" w:lineRule="auto" w:before="76" w:after="0"/>
        <w:ind w:left="750" w:right="0" w:hanging="358"/>
        <w:jc w:val="left"/>
        <w:rPr>
          <w:sz w:val="22"/>
        </w:rPr>
      </w:pPr>
      <w:r>
        <w:rPr>
          <w:w w:val="110"/>
          <w:sz w:val="22"/>
        </w:rPr>
        <w:t>ensure that all candidate material is assessed consistently and</w:t>
      </w:r>
      <w:r>
        <w:rPr>
          <w:spacing w:val="7"/>
          <w:w w:val="110"/>
          <w:sz w:val="22"/>
        </w:rPr>
        <w:t> </w:t>
      </w:r>
      <w:r>
        <w:rPr>
          <w:w w:val="110"/>
          <w:sz w:val="22"/>
        </w:rPr>
        <w:t>fairly</w:t>
      </w:r>
    </w:p>
    <w:p>
      <w:pPr>
        <w:pStyle w:val="ListParagraph"/>
        <w:numPr>
          <w:ilvl w:val="0"/>
          <w:numId w:val="2"/>
        </w:numPr>
        <w:tabs>
          <w:tab w:pos="749" w:val="left" w:leader="none"/>
          <w:tab w:pos="750" w:val="left" w:leader="none"/>
        </w:tabs>
        <w:spacing w:line="240" w:lineRule="auto" w:before="76" w:after="0"/>
        <w:ind w:left="750" w:right="0" w:hanging="358"/>
        <w:jc w:val="left"/>
        <w:rPr>
          <w:sz w:val="22"/>
        </w:rPr>
      </w:pPr>
      <w:r>
        <w:rPr>
          <w:w w:val="105"/>
          <w:sz w:val="22"/>
        </w:rPr>
        <w:t>follow</w:t>
      </w:r>
      <w:r>
        <w:rPr>
          <w:spacing w:val="8"/>
          <w:w w:val="105"/>
          <w:sz w:val="22"/>
        </w:rPr>
        <w:t> </w:t>
      </w:r>
      <w:r>
        <w:rPr>
          <w:w w:val="105"/>
          <w:sz w:val="22"/>
        </w:rPr>
        <w:t>instructions</w:t>
      </w:r>
      <w:r>
        <w:rPr>
          <w:spacing w:val="15"/>
          <w:w w:val="105"/>
          <w:sz w:val="22"/>
        </w:rPr>
        <w:t> </w:t>
      </w:r>
      <w:r>
        <w:rPr>
          <w:w w:val="105"/>
          <w:sz w:val="22"/>
        </w:rPr>
        <w:t>and/or</w:t>
      </w:r>
      <w:r>
        <w:rPr>
          <w:spacing w:val="11"/>
          <w:w w:val="105"/>
          <w:sz w:val="22"/>
        </w:rPr>
        <w:t> </w:t>
      </w:r>
      <w:r>
        <w:rPr>
          <w:w w:val="105"/>
          <w:sz w:val="22"/>
        </w:rPr>
        <w:t>advice</w:t>
      </w:r>
      <w:r>
        <w:rPr>
          <w:spacing w:val="12"/>
          <w:w w:val="105"/>
          <w:sz w:val="22"/>
        </w:rPr>
        <w:t> </w:t>
      </w:r>
      <w:r>
        <w:rPr>
          <w:w w:val="105"/>
          <w:sz w:val="22"/>
        </w:rPr>
        <w:t>given</w:t>
      </w:r>
      <w:r>
        <w:rPr>
          <w:spacing w:val="11"/>
          <w:w w:val="105"/>
          <w:sz w:val="22"/>
        </w:rPr>
        <w:t> </w:t>
      </w:r>
      <w:r>
        <w:rPr>
          <w:w w:val="105"/>
          <w:sz w:val="22"/>
        </w:rPr>
        <w:t>by</w:t>
      </w:r>
      <w:r>
        <w:rPr>
          <w:spacing w:val="9"/>
          <w:w w:val="105"/>
          <w:sz w:val="22"/>
        </w:rPr>
        <w:t> </w:t>
      </w:r>
      <w:r>
        <w:rPr>
          <w:w w:val="105"/>
          <w:sz w:val="22"/>
        </w:rPr>
        <w:t>the</w:t>
      </w:r>
      <w:r>
        <w:rPr>
          <w:spacing w:val="12"/>
          <w:w w:val="105"/>
          <w:sz w:val="22"/>
        </w:rPr>
        <w:t> </w:t>
      </w:r>
      <w:r>
        <w:rPr>
          <w:w w:val="105"/>
          <w:sz w:val="22"/>
        </w:rPr>
        <w:t>panel</w:t>
      </w:r>
      <w:r>
        <w:rPr>
          <w:spacing w:val="11"/>
          <w:w w:val="105"/>
          <w:sz w:val="22"/>
        </w:rPr>
        <w:t> </w:t>
      </w:r>
      <w:r>
        <w:rPr>
          <w:w w:val="105"/>
          <w:sz w:val="22"/>
        </w:rPr>
        <w:t>leader</w:t>
      </w:r>
      <w:r>
        <w:rPr>
          <w:spacing w:val="13"/>
          <w:w w:val="105"/>
          <w:sz w:val="22"/>
        </w:rPr>
        <w:t> </w:t>
      </w:r>
      <w:r>
        <w:rPr>
          <w:w w:val="105"/>
          <w:sz w:val="22"/>
        </w:rPr>
        <w:t>regarding</w:t>
      </w:r>
      <w:r>
        <w:rPr>
          <w:spacing w:val="15"/>
          <w:w w:val="105"/>
          <w:sz w:val="22"/>
        </w:rPr>
        <w:t> </w:t>
      </w:r>
      <w:r>
        <w:rPr>
          <w:w w:val="105"/>
          <w:sz w:val="22"/>
        </w:rPr>
        <w:t>assessment</w:t>
      </w:r>
    </w:p>
    <w:p>
      <w:pPr>
        <w:pStyle w:val="ListParagraph"/>
        <w:numPr>
          <w:ilvl w:val="0"/>
          <w:numId w:val="2"/>
        </w:numPr>
        <w:tabs>
          <w:tab w:pos="749" w:val="left" w:leader="none"/>
          <w:tab w:pos="750" w:val="left" w:leader="none"/>
        </w:tabs>
        <w:spacing w:line="240" w:lineRule="auto" w:before="75" w:after="0"/>
        <w:ind w:left="750" w:right="0" w:hanging="358"/>
        <w:jc w:val="left"/>
        <w:rPr>
          <w:sz w:val="22"/>
        </w:rPr>
      </w:pPr>
      <w:r>
        <w:rPr>
          <w:w w:val="110"/>
          <w:sz w:val="22"/>
        </w:rPr>
        <w:t>ensure that portfolios and control sheets/web results are free from marker errors and</w:t>
      </w:r>
      <w:r>
        <w:rPr>
          <w:spacing w:val="42"/>
          <w:w w:val="110"/>
          <w:sz w:val="22"/>
        </w:rPr>
        <w:t> </w:t>
      </w:r>
      <w:r>
        <w:rPr>
          <w:w w:val="110"/>
          <w:sz w:val="22"/>
        </w:rPr>
        <w:t>omissions</w:t>
      </w:r>
    </w:p>
    <w:p>
      <w:pPr>
        <w:pStyle w:val="ListParagraph"/>
        <w:numPr>
          <w:ilvl w:val="0"/>
          <w:numId w:val="2"/>
        </w:numPr>
        <w:tabs>
          <w:tab w:pos="749" w:val="left" w:leader="none"/>
          <w:tab w:pos="750" w:val="left" w:leader="none"/>
        </w:tabs>
        <w:spacing w:line="240" w:lineRule="auto" w:before="74" w:after="0"/>
        <w:ind w:left="750" w:right="942" w:hanging="358"/>
        <w:jc w:val="left"/>
        <w:rPr>
          <w:sz w:val="22"/>
        </w:rPr>
      </w:pPr>
      <w:r>
        <w:rPr>
          <w:w w:val="105"/>
          <w:sz w:val="22"/>
        </w:rPr>
        <w:t>maintain the security and confidentiality of all portfolios, associated marking material and all work relating to the</w:t>
      </w:r>
      <w:r>
        <w:rPr>
          <w:spacing w:val="13"/>
          <w:w w:val="105"/>
          <w:sz w:val="22"/>
        </w:rPr>
        <w:t> </w:t>
      </w:r>
      <w:r>
        <w:rPr>
          <w:w w:val="105"/>
          <w:sz w:val="22"/>
        </w:rPr>
        <w:t>submission</w:t>
      </w:r>
    </w:p>
    <w:p>
      <w:pPr>
        <w:pStyle w:val="ListParagraph"/>
        <w:numPr>
          <w:ilvl w:val="0"/>
          <w:numId w:val="2"/>
        </w:numPr>
        <w:tabs>
          <w:tab w:pos="749" w:val="left" w:leader="none"/>
          <w:tab w:pos="750" w:val="left" w:leader="none"/>
        </w:tabs>
        <w:spacing w:line="240" w:lineRule="auto" w:before="75" w:after="0"/>
        <w:ind w:left="749" w:right="0" w:hanging="357"/>
        <w:jc w:val="left"/>
        <w:rPr>
          <w:sz w:val="22"/>
        </w:rPr>
      </w:pPr>
      <w:r>
        <w:rPr>
          <w:w w:val="110"/>
          <w:sz w:val="22"/>
        </w:rPr>
        <w:t>meet all</w:t>
      </w:r>
      <w:r>
        <w:rPr>
          <w:spacing w:val="2"/>
          <w:w w:val="110"/>
          <w:sz w:val="22"/>
        </w:rPr>
        <w:t> </w:t>
      </w:r>
      <w:r>
        <w:rPr>
          <w:w w:val="110"/>
          <w:sz w:val="22"/>
        </w:rPr>
        <w:t>deadlines</w:t>
      </w:r>
    </w:p>
    <w:p>
      <w:pPr>
        <w:pStyle w:val="ListParagraph"/>
        <w:numPr>
          <w:ilvl w:val="0"/>
          <w:numId w:val="2"/>
        </w:numPr>
        <w:tabs>
          <w:tab w:pos="749" w:val="left" w:leader="none"/>
          <w:tab w:pos="750" w:val="left" w:leader="none"/>
        </w:tabs>
        <w:spacing w:line="240" w:lineRule="auto" w:before="75" w:after="0"/>
        <w:ind w:left="749" w:right="0" w:hanging="357"/>
        <w:jc w:val="left"/>
        <w:rPr>
          <w:sz w:val="22"/>
        </w:rPr>
      </w:pPr>
      <w:r>
        <w:rPr>
          <w:w w:val="110"/>
          <w:sz w:val="22"/>
        </w:rPr>
        <w:t>write a Marker Report for the panel leader</w:t>
      </w:r>
    </w:p>
    <w:p>
      <w:pPr>
        <w:pStyle w:val="ListParagraph"/>
        <w:numPr>
          <w:ilvl w:val="0"/>
          <w:numId w:val="2"/>
        </w:numPr>
        <w:tabs>
          <w:tab w:pos="749" w:val="left" w:leader="none"/>
          <w:tab w:pos="750" w:val="left" w:leader="none"/>
        </w:tabs>
        <w:spacing w:line="240" w:lineRule="auto" w:before="74" w:after="0"/>
        <w:ind w:left="749" w:right="0" w:hanging="357"/>
        <w:jc w:val="left"/>
        <w:rPr>
          <w:sz w:val="22"/>
        </w:rPr>
      </w:pPr>
      <w:r>
        <w:rPr>
          <w:w w:val="105"/>
          <w:sz w:val="22"/>
        </w:rPr>
        <w:t>arrange for collection of portfolios by</w:t>
      </w:r>
      <w:r>
        <w:rPr>
          <w:spacing w:val="19"/>
          <w:w w:val="105"/>
          <w:sz w:val="22"/>
        </w:rPr>
        <w:t> </w:t>
      </w:r>
      <w:r>
        <w:rPr>
          <w:w w:val="105"/>
          <w:sz w:val="22"/>
        </w:rPr>
        <w:t>CourierPost</w:t>
      </w:r>
    </w:p>
    <w:p>
      <w:pPr>
        <w:pStyle w:val="ListParagraph"/>
        <w:numPr>
          <w:ilvl w:val="0"/>
          <w:numId w:val="2"/>
        </w:numPr>
        <w:tabs>
          <w:tab w:pos="749" w:val="left" w:leader="none"/>
          <w:tab w:pos="750" w:val="left" w:leader="none"/>
        </w:tabs>
        <w:spacing w:line="240" w:lineRule="auto" w:before="76" w:after="0"/>
        <w:ind w:left="750" w:right="927" w:hanging="358"/>
        <w:jc w:val="left"/>
        <w:rPr>
          <w:sz w:val="22"/>
        </w:rPr>
      </w:pPr>
      <w:r>
        <w:rPr>
          <w:w w:val="110"/>
          <w:sz w:val="22"/>
        </w:rPr>
        <w:t>return all Control Sheets and completed non-personalised (blank) assessment envelopes to NZQA in the CourierPost </w:t>
      </w:r>
      <w:r>
        <w:rPr>
          <w:spacing w:val="-2"/>
          <w:w w:val="110"/>
          <w:sz w:val="22"/>
        </w:rPr>
        <w:t>bag</w:t>
      </w:r>
      <w:r>
        <w:rPr>
          <w:w w:val="110"/>
          <w:sz w:val="22"/>
        </w:rPr>
        <w:t> provided.</w:t>
      </w:r>
    </w:p>
    <w:p>
      <w:pPr>
        <w:pStyle w:val="BodyText"/>
        <w:spacing w:before="8"/>
        <w:rPr>
          <w:sz w:val="20"/>
        </w:rPr>
      </w:pPr>
    </w:p>
    <w:p>
      <w:pPr>
        <w:pStyle w:val="BodyText"/>
        <w:ind w:left="392"/>
      </w:pPr>
      <w:r>
        <w:rPr>
          <w:w w:val="110"/>
        </w:rPr>
        <w:t>The Panel leader has responsibility for:</w:t>
      </w:r>
    </w:p>
    <w:p>
      <w:pPr>
        <w:pStyle w:val="ListParagraph"/>
        <w:numPr>
          <w:ilvl w:val="0"/>
          <w:numId w:val="2"/>
        </w:numPr>
        <w:tabs>
          <w:tab w:pos="749" w:val="left" w:leader="none"/>
          <w:tab w:pos="750" w:val="left" w:leader="none"/>
        </w:tabs>
        <w:spacing w:line="240" w:lineRule="auto" w:before="76" w:after="0"/>
        <w:ind w:left="750" w:right="964" w:hanging="358"/>
        <w:jc w:val="left"/>
        <w:rPr>
          <w:sz w:val="22"/>
        </w:rPr>
      </w:pPr>
      <w:r>
        <w:rPr>
          <w:w w:val="110"/>
          <w:sz w:val="22"/>
        </w:rPr>
        <w:t>quality control of marking through the consistent application of the assessment schedule by markers on the</w:t>
      </w:r>
      <w:r>
        <w:rPr>
          <w:spacing w:val="-1"/>
          <w:w w:val="110"/>
          <w:sz w:val="22"/>
        </w:rPr>
        <w:t> </w:t>
      </w:r>
      <w:r>
        <w:rPr>
          <w:w w:val="110"/>
          <w:sz w:val="22"/>
        </w:rPr>
        <w:t>panel</w:t>
      </w:r>
    </w:p>
    <w:p>
      <w:pPr>
        <w:pStyle w:val="ListParagraph"/>
        <w:numPr>
          <w:ilvl w:val="0"/>
          <w:numId w:val="2"/>
        </w:numPr>
        <w:tabs>
          <w:tab w:pos="749" w:val="left" w:leader="none"/>
          <w:tab w:pos="750" w:val="left" w:leader="none"/>
        </w:tabs>
        <w:spacing w:line="240" w:lineRule="auto" w:before="74" w:after="0"/>
        <w:ind w:left="749" w:right="0" w:hanging="357"/>
        <w:jc w:val="left"/>
        <w:rPr>
          <w:sz w:val="22"/>
        </w:rPr>
      </w:pPr>
      <w:r>
        <w:rPr>
          <w:w w:val="110"/>
          <w:sz w:val="22"/>
        </w:rPr>
        <w:t>conducting the benchmarking</w:t>
      </w:r>
      <w:r>
        <w:rPr>
          <w:spacing w:val="2"/>
          <w:w w:val="110"/>
          <w:sz w:val="22"/>
        </w:rPr>
        <w:t> </w:t>
      </w:r>
      <w:r>
        <w:rPr>
          <w:w w:val="110"/>
          <w:sz w:val="22"/>
        </w:rPr>
        <w:t>process</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w w:val="110"/>
          <w:sz w:val="22"/>
        </w:rPr>
        <w:t>organising and conducting the benchmarking meeting, panel meeting, and cut score</w:t>
      </w:r>
      <w:r>
        <w:rPr>
          <w:spacing w:val="33"/>
          <w:w w:val="110"/>
          <w:sz w:val="22"/>
        </w:rPr>
        <w:t> </w:t>
      </w:r>
      <w:r>
        <w:rPr>
          <w:w w:val="110"/>
          <w:sz w:val="22"/>
        </w:rPr>
        <w:t>meeting</w:t>
      </w:r>
    </w:p>
    <w:p>
      <w:pPr>
        <w:pStyle w:val="ListParagraph"/>
        <w:numPr>
          <w:ilvl w:val="0"/>
          <w:numId w:val="2"/>
        </w:numPr>
        <w:tabs>
          <w:tab w:pos="749" w:val="left" w:leader="none"/>
          <w:tab w:pos="750" w:val="left" w:leader="none"/>
        </w:tabs>
        <w:spacing w:line="240" w:lineRule="auto" w:before="74" w:after="0"/>
        <w:ind w:left="749" w:right="0" w:hanging="357"/>
        <w:jc w:val="left"/>
        <w:rPr>
          <w:sz w:val="22"/>
        </w:rPr>
      </w:pPr>
      <w:r>
        <w:rPr>
          <w:w w:val="110"/>
          <w:sz w:val="22"/>
        </w:rPr>
        <w:t>liaising with the national assessment facilitator (NAF) and if needed the</w:t>
      </w:r>
      <w:r>
        <w:rPr>
          <w:spacing w:val="-9"/>
          <w:w w:val="110"/>
          <w:sz w:val="22"/>
        </w:rPr>
        <w:t> </w:t>
      </w:r>
      <w:r>
        <w:rPr>
          <w:w w:val="110"/>
          <w:sz w:val="22"/>
        </w:rPr>
        <w:t>examiner</w:t>
      </w:r>
    </w:p>
    <w:p>
      <w:pPr>
        <w:pStyle w:val="ListParagraph"/>
        <w:numPr>
          <w:ilvl w:val="0"/>
          <w:numId w:val="2"/>
        </w:numPr>
        <w:tabs>
          <w:tab w:pos="749" w:val="left" w:leader="none"/>
          <w:tab w:pos="750" w:val="left" w:leader="none"/>
        </w:tabs>
        <w:spacing w:line="240" w:lineRule="auto" w:before="75" w:after="0"/>
        <w:ind w:left="749" w:right="0" w:hanging="357"/>
        <w:jc w:val="left"/>
        <w:rPr>
          <w:sz w:val="22"/>
        </w:rPr>
      </w:pPr>
      <w:r>
        <w:rPr>
          <w:w w:val="110"/>
          <w:sz w:val="22"/>
        </w:rPr>
        <w:t>the organisation, briefing, and operation of a panel of</w:t>
      </w:r>
      <w:r>
        <w:rPr>
          <w:spacing w:val="7"/>
          <w:w w:val="110"/>
          <w:sz w:val="22"/>
        </w:rPr>
        <w:t> </w:t>
      </w:r>
      <w:r>
        <w:rPr>
          <w:w w:val="110"/>
          <w:sz w:val="22"/>
        </w:rPr>
        <w:t>markers</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w w:val="105"/>
          <w:sz w:val="22"/>
        </w:rPr>
        <w:t>permitting markers to start</w:t>
      </w:r>
      <w:r>
        <w:rPr>
          <w:spacing w:val="9"/>
          <w:w w:val="105"/>
          <w:sz w:val="22"/>
        </w:rPr>
        <w:t> </w:t>
      </w:r>
      <w:r>
        <w:rPr>
          <w:w w:val="105"/>
          <w:sz w:val="22"/>
        </w:rPr>
        <w:t>marking</w:t>
      </w:r>
    </w:p>
    <w:p>
      <w:pPr>
        <w:pStyle w:val="ListParagraph"/>
        <w:numPr>
          <w:ilvl w:val="0"/>
          <w:numId w:val="2"/>
        </w:numPr>
        <w:tabs>
          <w:tab w:pos="749" w:val="left" w:leader="none"/>
          <w:tab w:pos="750" w:val="left" w:leader="none"/>
        </w:tabs>
        <w:spacing w:line="240" w:lineRule="auto" w:before="74" w:after="0"/>
        <w:ind w:left="749" w:right="0" w:hanging="357"/>
        <w:jc w:val="left"/>
        <w:rPr>
          <w:sz w:val="22"/>
        </w:rPr>
      </w:pPr>
      <w:r>
        <w:rPr>
          <w:w w:val="105"/>
          <w:sz w:val="22"/>
        </w:rPr>
        <w:t>requiring markers to stop</w:t>
      </w:r>
      <w:r>
        <w:rPr>
          <w:spacing w:val="14"/>
          <w:w w:val="105"/>
          <w:sz w:val="22"/>
        </w:rPr>
        <w:t> </w:t>
      </w:r>
      <w:r>
        <w:rPr>
          <w:w w:val="105"/>
          <w:sz w:val="22"/>
        </w:rPr>
        <w:t>marking</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w w:val="105"/>
          <w:sz w:val="22"/>
        </w:rPr>
        <w:t>monitoring the quality and progress of result entry</w:t>
      </w:r>
      <w:r>
        <w:rPr>
          <w:spacing w:val="34"/>
          <w:w w:val="105"/>
          <w:sz w:val="22"/>
        </w:rPr>
        <w:t> </w:t>
      </w:r>
      <w:r>
        <w:rPr>
          <w:w w:val="105"/>
          <w:sz w:val="22"/>
        </w:rPr>
        <w:t>online</w:t>
      </w:r>
    </w:p>
    <w:p>
      <w:pPr>
        <w:pStyle w:val="ListParagraph"/>
        <w:numPr>
          <w:ilvl w:val="0"/>
          <w:numId w:val="2"/>
        </w:numPr>
        <w:tabs>
          <w:tab w:pos="749" w:val="left" w:leader="none"/>
          <w:tab w:pos="750" w:val="left" w:leader="none"/>
        </w:tabs>
        <w:spacing w:line="240" w:lineRule="auto" w:before="73" w:after="0"/>
        <w:ind w:left="749" w:right="0" w:hanging="357"/>
        <w:jc w:val="left"/>
        <w:rPr>
          <w:sz w:val="22"/>
        </w:rPr>
      </w:pPr>
      <w:r>
        <w:rPr>
          <w:w w:val="110"/>
          <w:sz w:val="22"/>
        </w:rPr>
        <w:t>writing the final assessment schedule and panel leader’s report for the</w:t>
      </w:r>
      <w:r>
        <w:rPr>
          <w:spacing w:val="12"/>
          <w:w w:val="110"/>
          <w:sz w:val="22"/>
        </w:rPr>
        <w:t> </w:t>
      </w:r>
      <w:r>
        <w:rPr>
          <w:w w:val="110"/>
          <w:sz w:val="22"/>
        </w:rPr>
        <w:t>examiner</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w w:val="105"/>
          <w:sz w:val="22"/>
        </w:rPr>
        <w:t>fulfilling their check marking and marking</w:t>
      </w:r>
      <w:r>
        <w:rPr>
          <w:spacing w:val="24"/>
          <w:w w:val="105"/>
          <w:sz w:val="22"/>
        </w:rPr>
        <w:t> </w:t>
      </w:r>
      <w:r>
        <w:rPr>
          <w:w w:val="105"/>
          <w:sz w:val="22"/>
        </w:rPr>
        <w:t>responsibilities.</w:t>
      </w:r>
    </w:p>
    <w:p>
      <w:pPr>
        <w:spacing w:after="0" w:line="240" w:lineRule="auto"/>
        <w:jc w:val="left"/>
        <w:rPr>
          <w:sz w:val="22"/>
        </w:rPr>
        <w:sectPr>
          <w:pgSz w:w="11910" w:h="16840"/>
          <w:pgMar w:header="0" w:footer="863" w:top="1040" w:bottom="1060" w:left="740" w:right="580"/>
        </w:sectPr>
      </w:pPr>
    </w:p>
    <w:p>
      <w:pPr>
        <w:pStyle w:val="Heading3"/>
        <w:spacing w:before="76"/>
      </w:pPr>
      <w:bookmarkStart w:name="_TOC_250043" w:id="5"/>
      <w:bookmarkEnd w:id="5"/>
      <w:r>
        <w:rPr>
          <w:w w:val="115"/>
        </w:rPr>
        <w:t>Marking calendar</w:t>
      </w:r>
    </w:p>
    <w:p>
      <w:pPr>
        <w:pStyle w:val="BodyText"/>
        <w:spacing w:before="4"/>
        <w:rPr>
          <w:sz w:val="10"/>
        </w:rPr>
      </w:pPr>
    </w:p>
    <w:tbl>
      <w:tblPr>
        <w:tblW w:w="0" w:type="auto"/>
        <w:jc w:val="left"/>
        <w:tblInd w:w="40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89"/>
        <w:gridCol w:w="3799"/>
        <w:gridCol w:w="960"/>
        <w:gridCol w:w="4320"/>
      </w:tblGrid>
      <w:tr>
        <w:trPr>
          <w:trHeight w:val="277" w:hRule="atLeast"/>
        </w:trPr>
        <w:tc>
          <w:tcPr>
            <w:tcW w:w="989" w:type="dxa"/>
            <w:tcBorders>
              <w:left w:val="single" w:sz="4" w:space="0" w:color="000000"/>
              <w:bottom w:val="single" w:sz="4" w:space="0" w:color="000000"/>
              <w:right w:val="single" w:sz="4" w:space="0" w:color="000000"/>
            </w:tcBorders>
            <w:shd w:val="clear" w:color="auto" w:fill="FFBF00"/>
          </w:tcPr>
          <w:p>
            <w:pPr>
              <w:pStyle w:val="TableParagraph"/>
              <w:rPr>
                <w:sz w:val="20"/>
              </w:rPr>
            </w:pPr>
          </w:p>
        </w:tc>
        <w:tc>
          <w:tcPr>
            <w:tcW w:w="3799" w:type="dxa"/>
            <w:tcBorders>
              <w:left w:val="single" w:sz="4" w:space="0" w:color="000000"/>
              <w:bottom w:val="single" w:sz="4" w:space="0" w:color="000000"/>
              <w:right w:val="single" w:sz="4" w:space="0" w:color="FFFFFF"/>
            </w:tcBorders>
            <w:shd w:val="clear" w:color="auto" w:fill="FFBF00"/>
          </w:tcPr>
          <w:p>
            <w:pPr>
              <w:pStyle w:val="TableParagraph"/>
              <w:spacing w:line="251" w:lineRule="exact"/>
              <w:ind w:left="376"/>
              <w:rPr>
                <w:sz w:val="22"/>
              </w:rPr>
            </w:pPr>
            <w:r>
              <w:rPr>
                <w:w w:val="120"/>
                <w:sz w:val="22"/>
              </w:rPr>
              <w:t>Panel leaders/Check Markers</w:t>
            </w:r>
          </w:p>
        </w:tc>
        <w:tc>
          <w:tcPr>
            <w:tcW w:w="960" w:type="dxa"/>
            <w:tcBorders>
              <w:left w:val="single" w:sz="4" w:space="0" w:color="FFFFFF"/>
              <w:bottom w:val="single" w:sz="4" w:space="0" w:color="000000"/>
              <w:right w:val="single" w:sz="4" w:space="0" w:color="000000"/>
            </w:tcBorders>
            <w:shd w:val="clear" w:color="auto" w:fill="FFBF00"/>
          </w:tcPr>
          <w:p>
            <w:pPr>
              <w:pStyle w:val="TableParagraph"/>
              <w:rPr>
                <w:sz w:val="20"/>
              </w:rPr>
            </w:pPr>
          </w:p>
        </w:tc>
        <w:tc>
          <w:tcPr>
            <w:tcW w:w="4320" w:type="dxa"/>
            <w:tcBorders>
              <w:left w:val="single" w:sz="4" w:space="0" w:color="000000"/>
              <w:bottom w:val="single" w:sz="4" w:space="0" w:color="000000"/>
              <w:right w:val="single" w:sz="4" w:space="0" w:color="000000"/>
            </w:tcBorders>
            <w:shd w:val="clear" w:color="auto" w:fill="FFBF00"/>
          </w:tcPr>
          <w:p>
            <w:pPr>
              <w:pStyle w:val="TableParagraph"/>
              <w:spacing w:line="251" w:lineRule="exact"/>
              <w:ind w:left="1529" w:right="1511"/>
              <w:jc w:val="center"/>
              <w:rPr>
                <w:sz w:val="22"/>
              </w:rPr>
            </w:pPr>
            <w:r>
              <w:rPr>
                <w:w w:val="115"/>
                <w:sz w:val="22"/>
              </w:rPr>
              <w:t>All Markers</w:t>
            </w:r>
          </w:p>
        </w:tc>
      </w:tr>
      <w:tr>
        <w:trPr>
          <w:trHeight w:val="561" w:hRule="atLeast"/>
        </w:trPr>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29"/>
              <w:ind w:left="110"/>
              <w:rPr>
                <w:sz w:val="22"/>
              </w:rPr>
            </w:pPr>
            <w:r>
              <w:rPr>
                <w:w w:val="125"/>
                <w:sz w:val="22"/>
              </w:rPr>
              <w:t>Sep</w:t>
            </w:r>
          </w:p>
        </w:tc>
        <w:tc>
          <w:tcPr>
            <w:tcW w:w="3799"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before="157"/>
              <w:ind w:left="110"/>
              <w:rPr>
                <w:sz w:val="22"/>
              </w:rPr>
            </w:pPr>
            <w:r>
              <w:rPr>
                <w:w w:val="125"/>
                <w:sz w:val="22"/>
              </w:rPr>
              <w:t>Sep</w:t>
            </w:r>
          </w:p>
        </w:tc>
        <w:tc>
          <w:tcPr>
            <w:tcW w:w="4320" w:type="dxa"/>
            <w:tcBorders>
              <w:top w:val="single" w:sz="4" w:space="0" w:color="000000"/>
              <w:left w:val="single" w:sz="4" w:space="0" w:color="000000"/>
              <w:bottom w:val="single" w:sz="4" w:space="0" w:color="000000"/>
              <w:right w:val="single" w:sz="4" w:space="0" w:color="000000"/>
            </w:tcBorders>
          </w:tcPr>
          <w:p>
            <w:pPr>
              <w:pStyle w:val="TableParagraph"/>
              <w:spacing w:before="29"/>
              <w:ind w:left="110" w:right="272"/>
              <w:rPr>
                <w:sz w:val="22"/>
              </w:rPr>
            </w:pPr>
            <w:r>
              <w:rPr>
                <w:w w:val="110"/>
                <w:sz w:val="22"/>
              </w:rPr>
              <w:t>Markers able to change personal details on NZQA website</w:t>
            </w:r>
          </w:p>
        </w:tc>
      </w:tr>
      <w:tr>
        <w:trPr>
          <w:trHeight w:val="2188" w:hRule="atLeast"/>
        </w:trPr>
        <w:tc>
          <w:tcPr>
            <w:tcW w:w="989" w:type="dxa"/>
            <w:tcBorders>
              <w:top w:val="single" w:sz="4" w:space="0" w:color="000000"/>
              <w:left w:val="single" w:sz="4" w:space="0" w:color="000000"/>
              <w:bottom w:val="single" w:sz="4" w:space="0" w:color="000000"/>
              <w:right w:val="single" w:sz="4" w:space="0" w:color="000000"/>
            </w:tcBorders>
          </w:tcPr>
          <w:p>
            <w:pPr>
              <w:pStyle w:val="TableParagraph"/>
              <w:rPr>
                <w:sz w:val="24"/>
              </w:rPr>
            </w:pPr>
          </w:p>
          <w:p>
            <w:pPr>
              <w:pStyle w:val="TableParagraph"/>
              <w:rPr>
                <w:sz w:val="24"/>
              </w:rPr>
            </w:pPr>
          </w:p>
          <w:p>
            <w:pPr>
              <w:pStyle w:val="TableParagraph"/>
              <w:spacing w:before="3"/>
              <w:rPr>
                <w:sz w:val="25"/>
              </w:rPr>
            </w:pPr>
          </w:p>
          <w:p>
            <w:pPr>
              <w:pStyle w:val="TableParagraph"/>
              <w:ind w:left="110"/>
              <w:rPr>
                <w:sz w:val="22"/>
              </w:rPr>
            </w:pPr>
            <w:r>
              <w:rPr>
                <w:w w:val="120"/>
                <w:sz w:val="22"/>
              </w:rPr>
              <w:t>Oct</w:t>
            </w:r>
          </w:p>
        </w:tc>
        <w:tc>
          <w:tcPr>
            <w:tcW w:w="3799" w:type="dxa"/>
            <w:tcBorders>
              <w:top w:val="single" w:sz="4" w:space="0" w:color="000000"/>
              <w:left w:val="single" w:sz="4" w:space="0" w:color="000000"/>
              <w:bottom w:val="single" w:sz="4" w:space="0" w:color="000000"/>
              <w:right w:val="single" w:sz="4" w:space="0" w:color="000000"/>
            </w:tcBorders>
          </w:tcPr>
          <w:p>
            <w:pPr>
              <w:pStyle w:val="TableParagraph"/>
              <w:spacing w:before="29"/>
              <w:ind w:left="107" w:right="368"/>
              <w:rPr>
                <w:sz w:val="22"/>
              </w:rPr>
            </w:pPr>
            <w:r>
              <w:rPr>
                <w:w w:val="110"/>
                <w:sz w:val="22"/>
              </w:rPr>
              <w:t>Read all sections of these Guide Notes</w:t>
            </w:r>
          </w:p>
          <w:p>
            <w:pPr>
              <w:pStyle w:val="TableParagraph"/>
              <w:spacing w:before="121"/>
              <w:ind w:left="107"/>
              <w:rPr>
                <w:sz w:val="22"/>
              </w:rPr>
            </w:pPr>
            <w:r>
              <w:rPr>
                <w:w w:val="105"/>
                <w:sz w:val="22"/>
              </w:rPr>
              <w:t>Send letter to markers, including expected marking timelines</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rPr>
                <w:sz w:val="24"/>
              </w:rPr>
            </w:pPr>
          </w:p>
          <w:p>
            <w:pPr>
              <w:pStyle w:val="TableParagraph"/>
              <w:rPr>
                <w:sz w:val="24"/>
              </w:rPr>
            </w:pPr>
          </w:p>
          <w:p>
            <w:pPr>
              <w:pStyle w:val="TableParagraph"/>
              <w:spacing w:before="3"/>
              <w:rPr>
                <w:sz w:val="25"/>
              </w:rPr>
            </w:pPr>
          </w:p>
          <w:p>
            <w:pPr>
              <w:pStyle w:val="TableParagraph"/>
              <w:ind w:left="110"/>
              <w:rPr>
                <w:sz w:val="22"/>
              </w:rPr>
            </w:pPr>
            <w:r>
              <w:rPr>
                <w:w w:val="115"/>
                <w:sz w:val="22"/>
              </w:rPr>
              <w:t>23 Oct</w:t>
            </w:r>
          </w:p>
        </w:tc>
        <w:tc>
          <w:tcPr>
            <w:tcW w:w="4320" w:type="dxa"/>
            <w:tcBorders>
              <w:top w:val="single" w:sz="4" w:space="0" w:color="000000"/>
              <w:left w:val="single" w:sz="4" w:space="0" w:color="000000"/>
              <w:bottom w:val="single" w:sz="4" w:space="0" w:color="000000"/>
              <w:right w:val="single" w:sz="4" w:space="0" w:color="000000"/>
            </w:tcBorders>
          </w:tcPr>
          <w:p>
            <w:pPr>
              <w:pStyle w:val="TableParagraph"/>
              <w:spacing w:before="29"/>
              <w:ind w:left="110" w:right="272"/>
              <w:rPr>
                <w:sz w:val="22"/>
              </w:rPr>
            </w:pPr>
            <w:r>
              <w:rPr>
                <w:w w:val="120"/>
                <w:sz w:val="22"/>
              </w:rPr>
              <w:t>Last day to change portfolio delivery addresses online (see page 4).</w:t>
            </w:r>
          </w:p>
          <w:p>
            <w:pPr>
              <w:pStyle w:val="TableParagraph"/>
              <w:spacing w:before="121"/>
              <w:ind w:left="110"/>
              <w:rPr>
                <w:sz w:val="22"/>
              </w:rPr>
            </w:pPr>
            <w:r>
              <w:rPr>
                <w:w w:val="110"/>
                <w:sz w:val="22"/>
              </w:rPr>
              <w:t>Read Section 1 of these Guide Notes and Instructions</w:t>
            </w:r>
          </w:p>
          <w:p>
            <w:pPr>
              <w:pStyle w:val="TableParagraph"/>
              <w:spacing w:before="120"/>
              <w:ind w:left="110"/>
              <w:rPr>
                <w:sz w:val="22"/>
              </w:rPr>
            </w:pPr>
            <w:r>
              <w:rPr>
                <w:w w:val="110"/>
                <w:sz w:val="22"/>
              </w:rPr>
              <w:t>Receive Marker Pack</w:t>
            </w:r>
          </w:p>
          <w:p>
            <w:pPr>
              <w:pStyle w:val="TableParagraph"/>
              <w:spacing w:before="119"/>
              <w:ind w:left="110"/>
              <w:rPr>
                <w:sz w:val="22"/>
              </w:rPr>
            </w:pPr>
            <w:r>
              <w:rPr>
                <w:w w:val="105"/>
                <w:sz w:val="22"/>
              </w:rPr>
              <w:t>Contact 0800 222 230 if Markers’ Pack</w:t>
            </w:r>
          </w:p>
          <w:p>
            <w:pPr>
              <w:pStyle w:val="TableParagraph"/>
              <w:spacing w:before="2"/>
              <w:ind w:left="110"/>
              <w:rPr>
                <w:sz w:val="22"/>
              </w:rPr>
            </w:pPr>
            <w:r>
              <w:rPr>
                <w:w w:val="115"/>
                <w:sz w:val="22"/>
              </w:rPr>
              <w:t>has not been received</w:t>
            </w:r>
          </w:p>
        </w:tc>
      </w:tr>
      <w:tr>
        <w:trPr>
          <w:trHeight w:val="810" w:hRule="atLeast"/>
        </w:trPr>
        <w:tc>
          <w:tcPr>
            <w:tcW w:w="989" w:type="dxa"/>
            <w:tcBorders>
              <w:top w:val="single" w:sz="4" w:space="0" w:color="000000"/>
              <w:left w:val="single" w:sz="4" w:space="0" w:color="000000"/>
              <w:right w:val="single" w:sz="4" w:space="0" w:color="000000"/>
            </w:tcBorders>
          </w:tcPr>
          <w:p>
            <w:pPr>
              <w:pStyle w:val="TableParagraph"/>
              <w:spacing w:before="154"/>
              <w:ind w:left="110"/>
              <w:rPr>
                <w:sz w:val="22"/>
              </w:rPr>
            </w:pPr>
            <w:r>
              <w:rPr>
                <w:w w:val="110"/>
                <w:sz w:val="22"/>
              </w:rPr>
              <w:t>2 – 8</w:t>
            </w:r>
          </w:p>
          <w:p>
            <w:pPr>
              <w:pStyle w:val="TableParagraph"/>
              <w:spacing w:before="2"/>
              <w:ind w:left="110"/>
              <w:rPr>
                <w:sz w:val="22"/>
              </w:rPr>
            </w:pPr>
            <w:r>
              <w:rPr>
                <w:w w:val="110"/>
                <w:sz w:val="22"/>
              </w:rPr>
              <w:t>Nov</w:t>
            </w:r>
          </w:p>
        </w:tc>
        <w:tc>
          <w:tcPr>
            <w:tcW w:w="3799" w:type="dxa"/>
            <w:tcBorders>
              <w:top w:val="single" w:sz="4" w:space="0" w:color="000000"/>
              <w:left w:val="single" w:sz="4" w:space="0" w:color="000000"/>
              <w:right w:val="single" w:sz="4" w:space="0" w:color="000000"/>
            </w:tcBorders>
          </w:tcPr>
          <w:p>
            <w:pPr>
              <w:pStyle w:val="TableParagraph"/>
              <w:spacing w:before="29"/>
              <w:ind w:left="107"/>
              <w:rPr>
                <w:sz w:val="22"/>
              </w:rPr>
            </w:pPr>
            <w:r>
              <w:rPr>
                <w:w w:val="110"/>
                <w:sz w:val="22"/>
              </w:rPr>
              <w:t>Benchmarking Meeting(s)</w:t>
            </w:r>
          </w:p>
          <w:p>
            <w:pPr>
              <w:pStyle w:val="TableParagraph"/>
              <w:spacing w:before="21"/>
              <w:ind w:left="107"/>
              <w:rPr>
                <w:sz w:val="22"/>
              </w:rPr>
            </w:pPr>
            <w:r>
              <w:rPr>
                <w:w w:val="110"/>
                <w:sz w:val="22"/>
              </w:rPr>
              <w:t>One day or two evenings</w:t>
            </w:r>
          </w:p>
        </w:tc>
        <w:tc>
          <w:tcPr>
            <w:tcW w:w="960" w:type="dxa"/>
            <w:tcBorders>
              <w:top w:val="single" w:sz="4" w:space="0" w:color="000000"/>
              <w:left w:val="single" w:sz="4" w:space="0" w:color="000000"/>
              <w:right w:val="single" w:sz="4" w:space="0" w:color="000000"/>
            </w:tcBorders>
          </w:tcPr>
          <w:p>
            <w:pPr>
              <w:pStyle w:val="TableParagraph"/>
              <w:spacing w:before="154"/>
              <w:ind w:left="110"/>
              <w:rPr>
                <w:sz w:val="22"/>
              </w:rPr>
            </w:pPr>
            <w:r>
              <w:rPr>
                <w:w w:val="110"/>
                <w:sz w:val="22"/>
              </w:rPr>
              <w:t>5 – 13</w:t>
            </w:r>
          </w:p>
          <w:p>
            <w:pPr>
              <w:pStyle w:val="TableParagraph"/>
              <w:spacing w:before="2"/>
              <w:ind w:left="110"/>
              <w:rPr>
                <w:sz w:val="22"/>
              </w:rPr>
            </w:pPr>
            <w:r>
              <w:rPr>
                <w:w w:val="110"/>
                <w:sz w:val="22"/>
              </w:rPr>
              <w:t>Nov</w:t>
            </w:r>
          </w:p>
        </w:tc>
        <w:tc>
          <w:tcPr>
            <w:tcW w:w="4320" w:type="dxa"/>
            <w:tcBorders>
              <w:top w:val="single" w:sz="4" w:space="0" w:color="000000"/>
              <w:left w:val="single" w:sz="4" w:space="0" w:color="000000"/>
              <w:right w:val="single" w:sz="4" w:space="0" w:color="000000"/>
            </w:tcBorders>
          </w:tcPr>
          <w:p>
            <w:pPr>
              <w:pStyle w:val="TableParagraph"/>
              <w:spacing w:before="27"/>
              <w:ind w:left="110"/>
              <w:rPr>
                <w:sz w:val="22"/>
              </w:rPr>
            </w:pPr>
            <w:r>
              <w:rPr>
                <w:w w:val="105"/>
                <w:sz w:val="22"/>
              </w:rPr>
              <w:t>Receive portfolios for marking</w:t>
            </w:r>
          </w:p>
          <w:p>
            <w:pPr>
              <w:pStyle w:val="TableParagraph"/>
              <w:spacing w:before="1"/>
              <w:ind w:left="110" w:right="13"/>
              <w:rPr>
                <w:sz w:val="22"/>
              </w:rPr>
            </w:pPr>
            <w:r>
              <w:rPr>
                <w:w w:val="110"/>
                <w:sz w:val="22"/>
              </w:rPr>
              <w:t>Check all portfolios received prior to panel meetings</w:t>
            </w:r>
          </w:p>
        </w:tc>
      </w:tr>
      <w:tr>
        <w:trPr>
          <w:trHeight w:val="591" w:hRule="atLeast"/>
        </w:trPr>
        <w:tc>
          <w:tcPr>
            <w:tcW w:w="989" w:type="dxa"/>
            <w:tcBorders>
              <w:left w:val="single" w:sz="4" w:space="0" w:color="000000"/>
              <w:bottom w:val="single" w:sz="4" w:space="0" w:color="000000"/>
              <w:right w:val="single" w:sz="4" w:space="0" w:color="000000"/>
            </w:tcBorders>
            <w:shd w:val="clear" w:color="auto" w:fill="FFFFCC"/>
          </w:tcPr>
          <w:p>
            <w:pPr>
              <w:pStyle w:val="TableParagraph"/>
              <w:spacing w:line="252" w:lineRule="exact" w:before="29"/>
              <w:ind w:left="110"/>
              <w:rPr>
                <w:sz w:val="22"/>
              </w:rPr>
            </w:pPr>
            <w:r>
              <w:rPr>
                <w:w w:val="110"/>
                <w:sz w:val="22"/>
              </w:rPr>
              <w:t>9 – 12</w:t>
            </w:r>
          </w:p>
          <w:p>
            <w:pPr>
              <w:pStyle w:val="TableParagraph"/>
              <w:spacing w:line="252" w:lineRule="exact"/>
              <w:ind w:left="110"/>
              <w:rPr>
                <w:sz w:val="22"/>
              </w:rPr>
            </w:pPr>
            <w:r>
              <w:rPr>
                <w:w w:val="110"/>
                <w:sz w:val="22"/>
              </w:rPr>
              <w:t>Nov</w:t>
            </w:r>
          </w:p>
        </w:tc>
        <w:tc>
          <w:tcPr>
            <w:tcW w:w="9079" w:type="dxa"/>
            <w:gridSpan w:val="3"/>
            <w:tcBorders>
              <w:left w:val="single" w:sz="4" w:space="0" w:color="000000"/>
              <w:bottom w:val="single" w:sz="4" w:space="0" w:color="000000"/>
              <w:right w:val="single" w:sz="4" w:space="0" w:color="000000"/>
            </w:tcBorders>
            <w:shd w:val="clear" w:color="auto" w:fill="FFFFCC"/>
          </w:tcPr>
          <w:p>
            <w:pPr>
              <w:pStyle w:val="TableParagraph"/>
              <w:spacing w:line="251" w:lineRule="exact"/>
              <w:ind w:left="289" w:right="279"/>
              <w:jc w:val="center"/>
              <w:rPr>
                <w:sz w:val="22"/>
              </w:rPr>
            </w:pPr>
            <w:r>
              <w:rPr>
                <w:w w:val="115"/>
                <w:sz w:val="22"/>
              </w:rPr>
              <w:t>Panel Meeting – one full day</w:t>
            </w:r>
          </w:p>
          <w:p>
            <w:pPr>
              <w:pStyle w:val="TableParagraph"/>
              <w:spacing w:before="1"/>
              <w:ind w:left="284" w:right="279"/>
              <w:jc w:val="center"/>
              <w:rPr>
                <w:sz w:val="22"/>
              </w:rPr>
            </w:pPr>
            <w:r>
              <w:rPr>
                <w:w w:val="105"/>
                <w:sz w:val="22"/>
              </w:rPr>
              <w:t>(or equivalent)</w:t>
            </w:r>
          </w:p>
        </w:tc>
      </w:tr>
      <w:tr>
        <w:trPr>
          <w:trHeight w:val="940" w:hRule="atLeast"/>
        </w:trPr>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10"/>
              <w:rPr>
                <w:sz w:val="29"/>
              </w:rPr>
            </w:pPr>
          </w:p>
          <w:p>
            <w:pPr>
              <w:pStyle w:val="TableParagraph"/>
              <w:ind w:left="110"/>
              <w:rPr>
                <w:sz w:val="22"/>
              </w:rPr>
            </w:pPr>
            <w:r>
              <w:rPr>
                <w:w w:val="110"/>
                <w:sz w:val="22"/>
              </w:rPr>
              <w:t>13 Nov</w:t>
            </w:r>
          </w:p>
        </w:tc>
        <w:tc>
          <w:tcPr>
            <w:tcW w:w="3799" w:type="dxa"/>
            <w:tcBorders>
              <w:top w:val="single" w:sz="4" w:space="0" w:color="000000"/>
              <w:left w:val="single" w:sz="4" w:space="0" w:color="000000"/>
              <w:bottom w:val="single" w:sz="4" w:space="0" w:color="000000"/>
              <w:right w:val="single" w:sz="4" w:space="0" w:color="000000"/>
            </w:tcBorders>
          </w:tcPr>
          <w:p>
            <w:pPr>
              <w:pStyle w:val="TableParagraph"/>
              <w:spacing w:before="29"/>
              <w:ind w:left="107"/>
              <w:rPr>
                <w:sz w:val="22"/>
              </w:rPr>
            </w:pPr>
            <w:r>
              <w:rPr>
                <w:w w:val="105"/>
                <w:sz w:val="22"/>
              </w:rPr>
              <w:t>Begin marking</w:t>
            </w:r>
          </w:p>
          <w:p>
            <w:pPr>
              <w:pStyle w:val="TableParagraph"/>
              <w:spacing w:before="124"/>
              <w:ind w:left="107"/>
              <w:rPr>
                <w:sz w:val="22"/>
              </w:rPr>
            </w:pPr>
            <w:r>
              <w:rPr>
                <w:w w:val="115"/>
                <w:sz w:val="22"/>
              </w:rPr>
              <w:t>Check assess and provide feedback</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before="10"/>
              <w:rPr>
                <w:sz w:val="29"/>
              </w:rPr>
            </w:pPr>
          </w:p>
          <w:p>
            <w:pPr>
              <w:pStyle w:val="TableParagraph"/>
              <w:ind w:left="110"/>
              <w:rPr>
                <w:sz w:val="22"/>
              </w:rPr>
            </w:pPr>
            <w:r>
              <w:rPr>
                <w:w w:val="110"/>
                <w:sz w:val="22"/>
              </w:rPr>
              <w:t>13 Nov</w:t>
            </w:r>
          </w:p>
        </w:tc>
        <w:tc>
          <w:tcPr>
            <w:tcW w:w="4320" w:type="dxa"/>
            <w:tcBorders>
              <w:top w:val="single" w:sz="4" w:space="0" w:color="000000"/>
              <w:left w:val="single" w:sz="4" w:space="0" w:color="000000"/>
              <w:bottom w:val="single" w:sz="4" w:space="0" w:color="000000"/>
              <w:right w:val="single" w:sz="4" w:space="0" w:color="000000"/>
            </w:tcBorders>
          </w:tcPr>
          <w:p>
            <w:pPr>
              <w:pStyle w:val="TableParagraph"/>
              <w:spacing w:before="29"/>
              <w:ind w:left="110"/>
              <w:rPr>
                <w:sz w:val="22"/>
              </w:rPr>
            </w:pPr>
            <w:r>
              <w:rPr>
                <w:w w:val="105"/>
                <w:sz w:val="22"/>
              </w:rPr>
              <w:t>Begin marking</w:t>
            </w:r>
          </w:p>
          <w:p>
            <w:pPr>
              <w:pStyle w:val="TableParagraph"/>
              <w:spacing w:before="124"/>
              <w:ind w:left="110" w:right="272"/>
              <w:rPr>
                <w:sz w:val="22"/>
              </w:rPr>
            </w:pPr>
            <w:r>
              <w:rPr>
                <w:w w:val="110"/>
                <w:sz w:val="22"/>
              </w:rPr>
              <w:t>Send check marking and receive feedback</w:t>
            </w:r>
          </w:p>
        </w:tc>
      </w:tr>
      <w:tr>
        <w:trPr>
          <w:trHeight w:val="598" w:hRule="atLeast"/>
        </w:trPr>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29"/>
              <w:ind w:left="110" w:right="387"/>
              <w:rPr>
                <w:sz w:val="22"/>
              </w:rPr>
            </w:pPr>
            <w:r>
              <w:rPr>
                <w:w w:val="105"/>
                <w:sz w:val="22"/>
              </w:rPr>
              <w:t>Nov/ </w:t>
            </w:r>
            <w:r>
              <w:rPr>
                <w:w w:val="115"/>
                <w:sz w:val="22"/>
              </w:rPr>
              <w:t>Dec</w:t>
            </w:r>
          </w:p>
        </w:tc>
        <w:tc>
          <w:tcPr>
            <w:tcW w:w="3799" w:type="dxa"/>
            <w:tcBorders>
              <w:top w:val="single" w:sz="4" w:space="0" w:color="000000"/>
              <w:left w:val="single" w:sz="4" w:space="0" w:color="000000"/>
              <w:bottom w:val="single" w:sz="4" w:space="0" w:color="000000"/>
              <w:right w:val="single" w:sz="4" w:space="0" w:color="000000"/>
            </w:tcBorders>
          </w:tcPr>
          <w:p>
            <w:pPr>
              <w:pStyle w:val="TableParagraph"/>
              <w:spacing w:before="29"/>
              <w:ind w:left="107"/>
              <w:rPr>
                <w:sz w:val="22"/>
              </w:rPr>
            </w:pPr>
            <w:r>
              <w:rPr>
                <w:w w:val="110"/>
                <w:sz w:val="22"/>
              </w:rPr>
              <w:t>Continue contacting markers and remind them to enter results daily</w:t>
            </w:r>
          </w:p>
        </w:tc>
        <w:tc>
          <w:tcPr>
            <w:tcW w:w="960" w:type="dxa"/>
            <w:tcBorders>
              <w:top w:val="single" w:sz="4" w:space="0" w:color="000000"/>
              <w:left w:val="single" w:sz="4" w:space="0" w:color="000000"/>
              <w:right w:val="single" w:sz="4" w:space="0" w:color="000000"/>
            </w:tcBorders>
          </w:tcPr>
          <w:p>
            <w:pPr>
              <w:pStyle w:val="TableParagraph"/>
              <w:spacing w:before="49"/>
              <w:ind w:left="110" w:right="358"/>
              <w:rPr>
                <w:sz w:val="22"/>
              </w:rPr>
            </w:pPr>
            <w:r>
              <w:rPr>
                <w:w w:val="105"/>
                <w:sz w:val="22"/>
              </w:rPr>
              <w:t>Nov/ </w:t>
            </w:r>
            <w:r>
              <w:rPr>
                <w:w w:val="115"/>
                <w:sz w:val="22"/>
              </w:rPr>
              <w:t>Dec</w:t>
            </w:r>
          </w:p>
        </w:tc>
        <w:tc>
          <w:tcPr>
            <w:tcW w:w="4320" w:type="dxa"/>
            <w:tcBorders>
              <w:top w:val="single" w:sz="4" w:space="0" w:color="000000"/>
              <w:left w:val="single" w:sz="4" w:space="0" w:color="000000"/>
              <w:right w:val="single" w:sz="4" w:space="0" w:color="000000"/>
            </w:tcBorders>
          </w:tcPr>
          <w:p>
            <w:pPr>
              <w:pStyle w:val="TableParagraph"/>
              <w:spacing w:before="29"/>
              <w:ind w:left="110" w:right="104"/>
              <w:rPr>
                <w:sz w:val="22"/>
              </w:rPr>
            </w:pPr>
            <w:r>
              <w:rPr>
                <w:w w:val="115"/>
                <w:sz w:val="22"/>
              </w:rPr>
              <w:t>Enter results daily (initial results only to start with) on the web</w:t>
            </w:r>
          </w:p>
        </w:tc>
      </w:tr>
      <w:tr>
        <w:trPr>
          <w:trHeight w:val="529" w:hRule="atLeast"/>
        </w:trPr>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122"/>
              <w:ind w:left="110"/>
              <w:rPr>
                <w:sz w:val="22"/>
              </w:rPr>
            </w:pPr>
            <w:r>
              <w:rPr>
                <w:w w:val="115"/>
                <w:sz w:val="22"/>
              </w:rPr>
              <w:t>3 Dec</w:t>
            </w:r>
          </w:p>
        </w:tc>
        <w:tc>
          <w:tcPr>
            <w:tcW w:w="3799" w:type="dxa"/>
            <w:tcBorders>
              <w:top w:val="single" w:sz="4" w:space="0" w:color="000000"/>
              <w:left w:val="single" w:sz="4" w:space="0" w:color="000000"/>
              <w:bottom w:val="single" w:sz="4" w:space="0" w:color="000000"/>
              <w:right w:val="single" w:sz="4" w:space="0" w:color="000000"/>
            </w:tcBorders>
          </w:tcPr>
          <w:p>
            <w:pPr>
              <w:pStyle w:val="TableParagraph"/>
              <w:ind w:left="107"/>
              <w:rPr>
                <w:sz w:val="22"/>
              </w:rPr>
            </w:pPr>
            <w:r>
              <w:rPr>
                <w:w w:val="110"/>
                <w:sz w:val="22"/>
              </w:rPr>
              <w:t>Last day to return check marking to markers</w:t>
            </w:r>
          </w:p>
        </w:tc>
        <w:tc>
          <w:tcPr>
            <w:tcW w:w="5280" w:type="dxa"/>
            <w:gridSpan w:val="2"/>
            <w:tcBorders>
              <w:left w:val="single" w:sz="4" w:space="0" w:color="000000"/>
              <w:bottom w:val="single" w:sz="4" w:space="0" w:color="000000"/>
              <w:right w:val="single" w:sz="4" w:space="0" w:color="000000"/>
            </w:tcBorders>
            <w:shd w:val="clear" w:color="auto" w:fill="D8D8D8"/>
          </w:tcPr>
          <w:p>
            <w:pPr>
              <w:pStyle w:val="TableParagraph"/>
              <w:rPr>
                <w:sz w:val="22"/>
              </w:rPr>
            </w:pPr>
          </w:p>
        </w:tc>
      </w:tr>
      <w:tr>
        <w:trPr>
          <w:trHeight w:val="560" w:hRule="atLeast"/>
        </w:trPr>
        <w:tc>
          <w:tcPr>
            <w:tcW w:w="989" w:type="dxa"/>
            <w:tcBorders>
              <w:top w:val="single" w:sz="4" w:space="0" w:color="000000"/>
              <w:left w:val="single" w:sz="4" w:space="0" w:color="000000"/>
              <w:right w:val="single" w:sz="4" w:space="0" w:color="000000"/>
            </w:tcBorders>
          </w:tcPr>
          <w:p>
            <w:pPr>
              <w:pStyle w:val="TableParagraph"/>
              <w:spacing w:before="157"/>
              <w:ind w:left="110"/>
              <w:rPr>
                <w:sz w:val="22"/>
              </w:rPr>
            </w:pPr>
            <w:r>
              <w:rPr>
                <w:w w:val="115"/>
                <w:sz w:val="22"/>
              </w:rPr>
              <w:t>9 Dec</w:t>
            </w:r>
          </w:p>
        </w:tc>
        <w:tc>
          <w:tcPr>
            <w:tcW w:w="9079" w:type="dxa"/>
            <w:gridSpan w:val="3"/>
            <w:tcBorders>
              <w:top w:val="single" w:sz="4" w:space="0" w:color="000000"/>
              <w:left w:val="single" w:sz="4" w:space="0" w:color="000000"/>
              <w:right w:val="single" w:sz="4" w:space="0" w:color="000000"/>
            </w:tcBorders>
          </w:tcPr>
          <w:p>
            <w:pPr>
              <w:pStyle w:val="TableParagraph"/>
              <w:spacing w:before="29"/>
              <w:ind w:left="1914" w:right="1504" w:hanging="384"/>
              <w:rPr>
                <w:sz w:val="22"/>
              </w:rPr>
            </w:pPr>
            <w:r>
              <w:rPr>
                <w:w w:val="110"/>
                <w:sz w:val="22"/>
              </w:rPr>
              <w:t>Last day portfolios delivered to a school or workplace address After this date, all deliveries will be to a home address</w:t>
            </w:r>
          </w:p>
        </w:tc>
      </w:tr>
      <w:tr>
        <w:trPr>
          <w:trHeight w:val="271" w:hRule="atLeast"/>
        </w:trPr>
        <w:tc>
          <w:tcPr>
            <w:tcW w:w="989" w:type="dxa"/>
            <w:tcBorders>
              <w:left w:val="single" w:sz="4" w:space="0" w:color="000000"/>
              <w:bottom w:val="single" w:sz="4" w:space="0" w:color="000000"/>
              <w:right w:val="single" w:sz="4" w:space="0" w:color="000000"/>
            </w:tcBorders>
            <w:shd w:val="clear" w:color="auto" w:fill="91CF50"/>
          </w:tcPr>
          <w:p>
            <w:pPr>
              <w:pStyle w:val="TableParagraph"/>
              <w:spacing w:line="248" w:lineRule="exact"/>
              <w:ind w:left="110"/>
              <w:rPr>
                <w:sz w:val="22"/>
              </w:rPr>
            </w:pPr>
            <w:r>
              <w:rPr>
                <w:w w:val="115"/>
                <w:sz w:val="22"/>
              </w:rPr>
              <w:t>20 Dec</w:t>
            </w:r>
          </w:p>
        </w:tc>
        <w:tc>
          <w:tcPr>
            <w:tcW w:w="9079" w:type="dxa"/>
            <w:gridSpan w:val="3"/>
            <w:tcBorders>
              <w:left w:val="single" w:sz="4" w:space="0" w:color="000000"/>
              <w:right w:val="single" w:sz="4" w:space="0" w:color="000000"/>
            </w:tcBorders>
            <w:shd w:val="clear" w:color="auto" w:fill="91CF50"/>
          </w:tcPr>
          <w:p>
            <w:pPr>
              <w:pStyle w:val="TableParagraph"/>
              <w:spacing w:line="248" w:lineRule="exact"/>
              <w:ind w:left="2992"/>
              <w:rPr>
                <w:sz w:val="22"/>
              </w:rPr>
            </w:pPr>
            <w:r>
              <w:rPr>
                <w:w w:val="115"/>
                <w:sz w:val="22"/>
              </w:rPr>
              <w:t>Last day to click Final Submit</w:t>
            </w:r>
          </w:p>
        </w:tc>
      </w:tr>
      <w:tr>
        <w:trPr>
          <w:trHeight w:val="274" w:hRule="atLeast"/>
        </w:trPr>
        <w:tc>
          <w:tcPr>
            <w:tcW w:w="989" w:type="dxa"/>
            <w:tcBorders>
              <w:top w:val="single" w:sz="4" w:space="0" w:color="000000"/>
              <w:left w:val="single" w:sz="4" w:space="0" w:color="000000"/>
              <w:right w:val="single" w:sz="4" w:space="0" w:color="000000"/>
            </w:tcBorders>
          </w:tcPr>
          <w:p>
            <w:pPr>
              <w:pStyle w:val="TableParagraph"/>
              <w:spacing w:line="251" w:lineRule="exact"/>
              <w:ind w:left="110"/>
              <w:rPr>
                <w:sz w:val="22"/>
              </w:rPr>
            </w:pPr>
            <w:r>
              <w:rPr>
                <w:w w:val="115"/>
                <w:sz w:val="22"/>
              </w:rPr>
              <w:t>18 Dec</w:t>
            </w:r>
          </w:p>
        </w:tc>
        <w:tc>
          <w:tcPr>
            <w:tcW w:w="3799" w:type="dxa"/>
            <w:tcBorders>
              <w:top w:val="single" w:sz="4" w:space="0" w:color="000000"/>
              <w:left w:val="single" w:sz="4" w:space="0" w:color="000000"/>
              <w:right w:val="single" w:sz="4" w:space="0" w:color="000000"/>
            </w:tcBorders>
          </w:tcPr>
          <w:p>
            <w:pPr>
              <w:pStyle w:val="TableParagraph"/>
              <w:spacing w:line="251" w:lineRule="exact"/>
              <w:ind w:left="107"/>
              <w:rPr>
                <w:sz w:val="22"/>
              </w:rPr>
            </w:pPr>
            <w:r>
              <w:rPr>
                <w:w w:val="110"/>
                <w:sz w:val="22"/>
              </w:rPr>
              <w:t>Set of marked GPs to NAF at NZQA</w:t>
            </w:r>
          </w:p>
        </w:tc>
        <w:tc>
          <w:tcPr>
            <w:tcW w:w="5280" w:type="dxa"/>
            <w:gridSpan w:val="2"/>
            <w:tcBorders>
              <w:left w:val="single" w:sz="4" w:space="0" w:color="000000"/>
              <w:right w:val="single" w:sz="4" w:space="0" w:color="000000"/>
            </w:tcBorders>
            <w:shd w:val="clear" w:color="auto" w:fill="D8D8D8"/>
          </w:tcPr>
          <w:p>
            <w:pPr>
              <w:pStyle w:val="TableParagraph"/>
              <w:rPr>
                <w:sz w:val="20"/>
              </w:rPr>
            </w:pPr>
          </w:p>
        </w:tc>
      </w:tr>
      <w:tr>
        <w:trPr>
          <w:trHeight w:val="1976" w:hRule="atLeast"/>
        </w:trPr>
        <w:tc>
          <w:tcPr>
            <w:tcW w:w="989" w:type="dxa"/>
            <w:tcBorders>
              <w:left w:val="single" w:sz="4" w:space="0" w:color="000000"/>
              <w:bottom w:val="single" w:sz="4" w:space="0" w:color="000000"/>
              <w:right w:val="single" w:sz="4" w:space="0" w:color="000000"/>
            </w:tcBorders>
            <w:shd w:val="clear" w:color="auto" w:fill="FDE8D8"/>
          </w:tcPr>
          <w:p>
            <w:pPr>
              <w:pStyle w:val="TableParagraph"/>
              <w:rPr>
                <w:sz w:val="24"/>
              </w:rPr>
            </w:pPr>
          </w:p>
          <w:p>
            <w:pPr>
              <w:pStyle w:val="TableParagraph"/>
              <w:rPr>
                <w:sz w:val="24"/>
              </w:rPr>
            </w:pPr>
          </w:p>
          <w:p>
            <w:pPr>
              <w:pStyle w:val="TableParagraph"/>
              <w:spacing w:before="168"/>
              <w:ind w:left="110"/>
              <w:rPr>
                <w:sz w:val="22"/>
              </w:rPr>
            </w:pPr>
            <w:r>
              <w:rPr>
                <w:w w:val="110"/>
                <w:sz w:val="22"/>
              </w:rPr>
              <w:t>16 - 27</w:t>
            </w:r>
          </w:p>
          <w:p>
            <w:pPr>
              <w:pStyle w:val="TableParagraph"/>
              <w:spacing w:before="1"/>
              <w:ind w:left="110"/>
              <w:rPr>
                <w:sz w:val="22"/>
              </w:rPr>
            </w:pPr>
            <w:r>
              <w:rPr>
                <w:w w:val="115"/>
                <w:sz w:val="22"/>
              </w:rPr>
              <w:t>Dec</w:t>
            </w:r>
          </w:p>
        </w:tc>
        <w:tc>
          <w:tcPr>
            <w:tcW w:w="9079" w:type="dxa"/>
            <w:gridSpan w:val="3"/>
            <w:tcBorders>
              <w:left w:val="single" w:sz="4" w:space="0" w:color="000000"/>
              <w:bottom w:val="single" w:sz="4" w:space="0" w:color="000000"/>
              <w:right w:val="single" w:sz="4" w:space="0" w:color="000000"/>
            </w:tcBorders>
            <w:shd w:val="clear" w:color="auto" w:fill="FDE8D8"/>
          </w:tcPr>
          <w:p>
            <w:pPr>
              <w:pStyle w:val="TableParagraph"/>
              <w:spacing w:line="251" w:lineRule="exact"/>
              <w:ind w:left="2562"/>
              <w:rPr>
                <w:sz w:val="22"/>
              </w:rPr>
            </w:pPr>
            <w:r>
              <w:rPr>
                <w:w w:val="110"/>
                <w:sz w:val="22"/>
              </w:rPr>
              <w:t>Arrange collection of assessed portfolios</w:t>
            </w:r>
          </w:p>
          <w:p>
            <w:pPr>
              <w:pStyle w:val="TableParagraph"/>
              <w:spacing w:before="61"/>
              <w:ind w:left="1878"/>
              <w:rPr>
                <w:sz w:val="22"/>
              </w:rPr>
            </w:pPr>
            <w:r>
              <w:rPr>
                <w:w w:val="110"/>
                <w:sz w:val="22"/>
              </w:rPr>
              <w:t>18 December is the preferred pick-up date of portfolios</w:t>
            </w:r>
          </w:p>
          <w:p>
            <w:pPr>
              <w:pStyle w:val="TableParagraph"/>
              <w:spacing w:before="59"/>
              <w:ind w:left="290" w:right="279"/>
              <w:jc w:val="center"/>
              <w:rPr>
                <w:sz w:val="22"/>
              </w:rPr>
            </w:pPr>
            <w:r>
              <w:rPr>
                <w:w w:val="115"/>
                <w:sz w:val="22"/>
                <w:u w:val="thick"/>
              </w:rPr>
              <w:t>Same day bookings</w:t>
            </w:r>
            <w:r>
              <w:rPr>
                <w:w w:val="115"/>
                <w:sz w:val="22"/>
              </w:rPr>
              <w:t> for 16, 17, 18 and 27 December collections, book pick-ups</w:t>
            </w:r>
            <w:r>
              <w:rPr>
                <w:spacing w:val="63"/>
                <w:w w:val="115"/>
                <w:sz w:val="22"/>
              </w:rPr>
              <w:t> </w:t>
            </w:r>
            <w:r>
              <w:rPr>
                <w:w w:val="115"/>
                <w:sz w:val="22"/>
              </w:rPr>
              <w:t>before 12.00 pm for pick-up by 5.30 pm.</w:t>
            </w:r>
          </w:p>
          <w:p>
            <w:pPr>
              <w:pStyle w:val="TableParagraph"/>
              <w:spacing w:before="61"/>
              <w:ind w:left="291" w:right="279"/>
              <w:jc w:val="center"/>
              <w:rPr>
                <w:sz w:val="22"/>
              </w:rPr>
            </w:pPr>
            <w:r>
              <w:rPr>
                <w:w w:val="115"/>
                <w:sz w:val="22"/>
                <w:u w:val="thick"/>
              </w:rPr>
              <w:t>Advance bookings</w:t>
            </w:r>
            <w:r>
              <w:rPr>
                <w:w w:val="115"/>
                <w:sz w:val="22"/>
              </w:rPr>
              <w:t> for 19 and 23 December collections, book pick-ups before noon on</w:t>
            </w:r>
            <w:r>
              <w:rPr>
                <w:spacing w:val="-18"/>
                <w:w w:val="115"/>
                <w:sz w:val="22"/>
              </w:rPr>
              <w:t> </w:t>
            </w:r>
            <w:r>
              <w:rPr>
                <w:w w:val="115"/>
                <w:sz w:val="22"/>
              </w:rPr>
              <w:t>the</w:t>
            </w:r>
            <w:r>
              <w:rPr>
                <w:spacing w:val="-21"/>
                <w:w w:val="115"/>
                <w:sz w:val="22"/>
              </w:rPr>
              <w:t> </w:t>
            </w:r>
            <w:r>
              <w:rPr>
                <w:w w:val="115"/>
                <w:sz w:val="22"/>
                <w:u w:val="thick"/>
              </w:rPr>
              <w:t>day</w:t>
            </w:r>
            <w:r>
              <w:rPr>
                <w:spacing w:val="-22"/>
                <w:w w:val="115"/>
                <w:sz w:val="22"/>
                <w:u w:val="thick"/>
              </w:rPr>
              <w:t> </w:t>
            </w:r>
            <w:r>
              <w:rPr>
                <w:w w:val="115"/>
                <w:sz w:val="22"/>
                <w:u w:val="thick"/>
              </w:rPr>
              <w:t>prior</w:t>
            </w:r>
            <w:r>
              <w:rPr>
                <w:spacing w:val="-16"/>
                <w:w w:val="115"/>
                <w:sz w:val="22"/>
              </w:rPr>
              <w:t> </w:t>
            </w:r>
            <w:r>
              <w:rPr>
                <w:w w:val="115"/>
                <w:sz w:val="22"/>
              </w:rPr>
              <w:t>(working</w:t>
            </w:r>
            <w:r>
              <w:rPr>
                <w:spacing w:val="-18"/>
                <w:w w:val="115"/>
                <w:sz w:val="22"/>
              </w:rPr>
              <w:t> </w:t>
            </w:r>
            <w:r>
              <w:rPr>
                <w:w w:val="115"/>
                <w:sz w:val="22"/>
              </w:rPr>
              <w:t>day),</w:t>
            </w:r>
            <w:r>
              <w:rPr>
                <w:spacing w:val="-16"/>
                <w:w w:val="115"/>
                <w:sz w:val="22"/>
              </w:rPr>
              <w:t> </w:t>
            </w:r>
            <w:r>
              <w:rPr>
                <w:w w:val="115"/>
                <w:sz w:val="22"/>
              </w:rPr>
              <w:t>e.g.</w:t>
            </w:r>
            <w:r>
              <w:rPr>
                <w:spacing w:val="-18"/>
                <w:w w:val="115"/>
                <w:sz w:val="22"/>
              </w:rPr>
              <w:t> </w:t>
            </w:r>
            <w:r>
              <w:rPr>
                <w:w w:val="115"/>
                <w:sz w:val="22"/>
              </w:rPr>
              <w:t>for</w:t>
            </w:r>
            <w:r>
              <w:rPr>
                <w:spacing w:val="-17"/>
                <w:w w:val="115"/>
                <w:sz w:val="22"/>
              </w:rPr>
              <w:t> </w:t>
            </w:r>
            <w:r>
              <w:rPr>
                <w:w w:val="115"/>
                <w:sz w:val="22"/>
              </w:rPr>
              <w:t>Monday</w:t>
            </w:r>
            <w:r>
              <w:rPr>
                <w:spacing w:val="-19"/>
                <w:w w:val="115"/>
                <w:sz w:val="22"/>
              </w:rPr>
              <w:t> </w:t>
            </w:r>
            <w:r>
              <w:rPr>
                <w:w w:val="115"/>
                <w:sz w:val="22"/>
              </w:rPr>
              <w:t>23</w:t>
            </w:r>
            <w:r>
              <w:rPr>
                <w:spacing w:val="-18"/>
                <w:w w:val="115"/>
                <w:sz w:val="22"/>
              </w:rPr>
              <w:t> </w:t>
            </w:r>
            <w:r>
              <w:rPr>
                <w:w w:val="115"/>
                <w:sz w:val="22"/>
              </w:rPr>
              <w:t>December</w:t>
            </w:r>
            <w:r>
              <w:rPr>
                <w:spacing w:val="-18"/>
                <w:w w:val="115"/>
                <w:sz w:val="22"/>
              </w:rPr>
              <w:t> </w:t>
            </w:r>
            <w:r>
              <w:rPr>
                <w:w w:val="115"/>
                <w:sz w:val="22"/>
              </w:rPr>
              <w:t>collection,</w:t>
            </w:r>
            <w:r>
              <w:rPr>
                <w:spacing w:val="-17"/>
                <w:w w:val="115"/>
                <w:sz w:val="22"/>
              </w:rPr>
              <w:t> </w:t>
            </w:r>
            <w:r>
              <w:rPr>
                <w:w w:val="115"/>
                <w:sz w:val="22"/>
              </w:rPr>
              <w:t>book</w:t>
            </w:r>
            <w:r>
              <w:rPr>
                <w:spacing w:val="-15"/>
                <w:w w:val="115"/>
                <w:sz w:val="22"/>
              </w:rPr>
              <w:t> </w:t>
            </w:r>
            <w:r>
              <w:rPr>
                <w:w w:val="115"/>
                <w:sz w:val="22"/>
              </w:rPr>
              <w:t>before</w:t>
            </w:r>
          </w:p>
          <w:p>
            <w:pPr>
              <w:pStyle w:val="TableParagraph"/>
              <w:ind w:left="3052"/>
              <w:rPr>
                <w:sz w:val="22"/>
              </w:rPr>
            </w:pPr>
            <w:r>
              <w:rPr>
                <w:w w:val="110"/>
                <w:sz w:val="22"/>
              </w:rPr>
              <w:t>12.00 pm Friday 20 December</w:t>
            </w:r>
          </w:p>
        </w:tc>
      </w:tr>
      <w:tr>
        <w:trPr>
          <w:trHeight w:val="309" w:hRule="atLeast"/>
        </w:trPr>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29"/>
              <w:ind w:left="110"/>
              <w:rPr>
                <w:sz w:val="22"/>
              </w:rPr>
            </w:pPr>
            <w:r>
              <w:rPr>
                <w:w w:val="115"/>
                <w:sz w:val="22"/>
              </w:rPr>
              <w:t>19 Dec</w:t>
            </w:r>
          </w:p>
        </w:tc>
        <w:tc>
          <w:tcPr>
            <w:tcW w:w="9079" w:type="dxa"/>
            <w:gridSpan w:val="3"/>
            <w:tcBorders>
              <w:top w:val="single" w:sz="4" w:space="0" w:color="000000"/>
              <w:left w:val="single" w:sz="4" w:space="0" w:color="000000"/>
              <w:bottom w:val="single" w:sz="4" w:space="0" w:color="000000"/>
              <w:right w:val="single" w:sz="4" w:space="0" w:color="000000"/>
            </w:tcBorders>
          </w:tcPr>
          <w:p>
            <w:pPr>
              <w:pStyle w:val="TableParagraph"/>
              <w:spacing w:before="29"/>
              <w:ind w:left="2905"/>
              <w:rPr>
                <w:sz w:val="22"/>
              </w:rPr>
            </w:pPr>
            <w:r>
              <w:rPr>
                <w:w w:val="110"/>
                <w:sz w:val="22"/>
              </w:rPr>
              <w:t>Final date to send Control Sheets</w:t>
            </w:r>
          </w:p>
        </w:tc>
      </w:tr>
      <w:tr>
        <w:trPr>
          <w:trHeight w:val="933" w:hRule="atLeast"/>
        </w:trPr>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8"/>
              <w:rPr>
                <w:sz w:val="29"/>
              </w:rPr>
            </w:pPr>
          </w:p>
          <w:p>
            <w:pPr>
              <w:pStyle w:val="TableParagraph"/>
              <w:ind w:left="110"/>
              <w:rPr>
                <w:sz w:val="22"/>
              </w:rPr>
            </w:pPr>
            <w:r>
              <w:rPr>
                <w:w w:val="115"/>
                <w:sz w:val="22"/>
              </w:rPr>
              <w:t>20 Dec</w:t>
            </w:r>
          </w:p>
        </w:tc>
        <w:tc>
          <w:tcPr>
            <w:tcW w:w="3799" w:type="dxa"/>
            <w:tcBorders>
              <w:top w:val="single" w:sz="4" w:space="0" w:color="000000"/>
              <w:left w:val="single" w:sz="4" w:space="0" w:color="000000"/>
              <w:bottom w:val="single" w:sz="4" w:space="0" w:color="000000"/>
              <w:right w:val="single" w:sz="4" w:space="0" w:color="000000"/>
            </w:tcBorders>
          </w:tcPr>
          <w:p>
            <w:pPr>
              <w:pStyle w:val="TableParagraph"/>
              <w:spacing w:before="27"/>
              <w:ind w:left="107"/>
              <w:rPr>
                <w:sz w:val="22"/>
              </w:rPr>
            </w:pPr>
            <w:r>
              <w:rPr>
                <w:w w:val="110"/>
                <w:sz w:val="22"/>
              </w:rPr>
              <w:t>Collate Marker Reports/write Panel leader Report</w:t>
            </w:r>
          </w:p>
          <w:p>
            <w:pPr>
              <w:pStyle w:val="TableParagraph"/>
              <w:spacing w:before="120"/>
              <w:ind w:left="107"/>
              <w:rPr>
                <w:sz w:val="22"/>
              </w:rPr>
            </w:pPr>
            <w:r>
              <w:rPr>
                <w:w w:val="110"/>
                <w:sz w:val="22"/>
              </w:rPr>
              <w:t>Send letter of thanks to markers</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before="8"/>
              <w:rPr>
                <w:sz w:val="29"/>
              </w:rPr>
            </w:pPr>
          </w:p>
          <w:p>
            <w:pPr>
              <w:pStyle w:val="TableParagraph"/>
              <w:ind w:left="110"/>
              <w:rPr>
                <w:sz w:val="22"/>
              </w:rPr>
            </w:pPr>
            <w:r>
              <w:rPr>
                <w:w w:val="115"/>
                <w:sz w:val="22"/>
              </w:rPr>
              <w:t>20 Dec</w:t>
            </w:r>
          </w:p>
        </w:tc>
        <w:tc>
          <w:tcPr>
            <w:tcW w:w="4320" w:type="dxa"/>
            <w:tcBorders>
              <w:top w:val="single" w:sz="4" w:space="0" w:color="000000"/>
              <w:left w:val="single" w:sz="4" w:space="0" w:color="000000"/>
              <w:bottom w:val="single" w:sz="4" w:space="0" w:color="000000"/>
              <w:right w:val="single" w:sz="4" w:space="0" w:color="000000"/>
            </w:tcBorders>
          </w:tcPr>
          <w:p>
            <w:pPr>
              <w:pStyle w:val="TableParagraph"/>
              <w:spacing w:before="27"/>
              <w:ind w:left="110" w:right="160"/>
              <w:jc w:val="both"/>
              <w:rPr>
                <w:sz w:val="22"/>
              </w:rPr>
            </w:pPr>
            <w:r>
              <w:rPr>
                <w:w w:val="110"/>
                <w:sz w:val="22"/>
              </w:rPr>
              <w:t>Final</w:t>
            </w:r>
            <w:r>
              <w:rPr>
                <w:spacing w:val="-7"/>
                <w:w w:val="110"/>
                <w:sz w:val="22"/>
              </w:rPr>
              <w:t> </w:t>
            </w:r>
            <w:r>
              <w:rPr>
                <w:w w:val="110"/>
                <w:sz w:val="22"/>
              </w:rPr>
              <w:t>date</w:t>
            </w:r>
            <w:r>
              <w:rPr>
                <w:spacing w:val="-8"/>
                <w:w w:val="110"/>
                <w:sz w:val="22"/>
              </w:rPr>
              <w:t> </w:t>
            </w:r>
            <w:r>
              <w:rPr>
                <w:w w:val="110"/>
                <w:sz w:val="22"/>
              </w:rPr>
              <w:t>to</w:t>
            </w:r>
            <w:r>
              <w:rPr>
                <w:spacing w:val="-10"/>
                <w:w w:val="110"/>
                <w:sz w:val="22"/>
              </w:rPr>
              <w:t> </w:t>
            </w:r>
            <w:r>
              <w:rPr>
                <w:w w:val="110"/>
                <w:sz w:val="22"/>
              </w:rPr>
              <w:t>email</w:t>
            </w:r>
            <w:r>
              <w:rPr>
                <w:spacing w:val="-8"/>
                <w:w w:val="110"/>
                <w:sz w:val="22"/>
              </w:rPr>
              <w:t> </w:t>
            </w:r>
            <w:r>
              <w:rPr>
                <w:w w:val="110"/>
                <w:sz w:val="22"/>
              </w:rPr>
              <w:t>Marker’s</w:t>
            </w:r>
            <w:r>
              <w:rPr>
                <w:spacing w:val="-7"/>
                <w:w w:val="110"/>
                <w:sz w:val="22"/>
              </w:rPr>
              <w:t> </w:t>
            </w:r>
            <w:r>
              <w:rPr>
                <w:w w:val="110"/>
                <w:sz w:val="22"/>
              </w:rPr>
              <w:t>Report</w:t>
            </w:r>
            <w:r>
              <w:rPr>
                <w:spacing w:val="-8"/>
                <w:w w:val="110"/>
                <w:sz w:val="22"/>
              </w:rPr>
              <w:t> </w:t>
            </w:r>
            <w:r>
              <w:rPr>
                <w:w w:val="110"/>
                <w:sz w:val="22"/>
              </w:rPr>
              <w:t>to</w:t>
            </w:r>
            <w:r>
              <w:rPr>
                <w:spacing w:val="-7"/>
                <w:w w:val="110"/>
                <w:sz w:val="22"/>
              </w:rPr>
              <w:t> </w:t>
            </w:r>
            <w:r>
              <w:rPr>
                <w:w w:val="110"/>
                <w:sz w:val="22"/>
              </w:rPr>
              <w:t>the panel leader. Return any other materials, including CourierPost bags to</w:t>
            </w:r>
            <w:r>
              <w:rPr>
                <w:spacing w:val="-21"/>
                <w:w w:val="110"/>
                <w:sz w:val="22"/>
              </w:rPr>
              <w:t> </w:t>
            </w:r>
            <w:r>
              <w:rPr>
                <w:w w:val="110"/>
                <w:sz w:val="22"/>
              </w:rPr>
              <w:t>NZQA</w:t>
            </w:r>
          </w:p>
        </w:tc>
      </w:tr>
      <w:tr>
        <w:trPr>
          <w:trHeight w:val="935" w:hRule="atLeast"/>
        </w:trPr>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9"/>
              <w:rPr>
                <w:sz w:val="18"/>
              </w:rPr>
            </w:pPr>
          </w:p>
          <w:p>
            <w:pPr>
              <w:pStyle w:val="TableParagraph"/>
              <w:spacing w:line="252" w:lineRule="exact" w:before="1"/>
              <w:ind w:left="110"/>
              <w:rPr>
                <w:sz w:val="22"/>
              </w:rPr>
            </w:pPr>
            <w:r>
              <w:rPr>
                <w:w w:val="120"/>
                <w:sz w:val="22"/>
              </w:rPr>
              <w:t>10 Jan</w:t>
            </w:r>
          </w:p>
          <w:p>
            <w:pPr>
              <w:pStyle w:val="TableParagraph"/>
              <w:spacing w:line="252" w:lineRule="exact"/>
              <w:ind w:left="110"/>
              <w:rPr>
                <w:sz w:val="22"/>
              </w:rPr>
            </w:pPr>
            <w:r>
              <w:rPr>
                <w:w w:val="110"/>
                <w:sz w:val="22"/>
              </w:rPr>
              <w:t>2020</w:t>
            </w:r>
          </w:p>
        </w:tc>
        <w:tc>
          <w:tcPr>
            <w:tcW w:w="3799" w:type="dxa"/>
            <w:tcBorders>
              <w:top w:val="single" w:sz="4" w:space="0" w:color="000000"/>
              <w:left w:val="single" w:sz="4" w:space="0" w:color="000000"/>
              <w:bottom w:val="single" w:sz="4" w:space="0" w:color="000000"/>
              <w:right w:val="single" w:sz="4" w:space="0" w:color="000000"/>
            </w:tcBorders>
          </w:tcPr>
          <w:p>
            <w:pPr>
              <w:pStyle w:val="TableParagraph"/>
              <w:spacing w:before="29"/>
              <w:ind w:left="107" w:right="368"/>
              <w:rPr>
                <w:sz w:val="22"/>
              </w:rPr>
            </w:pPr>
            <w:r>
              <w:rPr>
                <w:w w:val="110"/>
                <w:sz w:val="22"/>
              </w:rPr>
              <w:t>Email/post Panel leader’s Report/Marker Reports to NZQA.</w:t>
            </w:r>
          </w:p>
          <w:p>
            <w:pPr>
              <w:pStyle w:val="TableParagraph"/>
              <w:spacing w:before="121"/>
              <w:ind w:left="107"/>
              <w:rPr>
                <w:sz w:val="22"/>
              </w:rPr>
            </w:pPr>
            <w:r>
              <w:rPr>
                <w:w w:val="110"/>
                <w:sz w:val="22"/>
              </w:rPr>
              <w:t>Complete Panel leader Claim online</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before="9"/>
              <w:rPr>
                <w:sz w:val="18"/>
              </w:rPr>
            </w:pPr>
          </w:p>
          <w:p>
            <w:pPr>
              <w:pStyle w:val="TableParagraph"/>
              <w:spacing w:before="1"/>
              <w:ind w:left="110"/>
              <w:rPr>
                <w:sz w:val="22"/>
              </w:rPr>
            </w:pPr>
            <w:r>
              <w:rPr>
                <w:w w:val="120"/>
                <w:sz w:val="22"/>
              </w:rPr>
              <w:t>10 Jan 2020</w:t>
            </w:r>
          </w:p>
        </w:tc>
        <w:tc>
          <w:tcPr>
            <w:tcW w:w="4320" w:type="dxa"/>
            <w:tcBorders>
              <w:top w:val="single" w:sz="4" w:space="0" w:color="000000"/>
              <w:left w:val="single" w:sz="4" w:space="0" w:color="000000"/>
              <w:bottom w:val="single" w:sz="4" w:space="0" w:color="000000"/>
              <w:right w:val="single" w:sz="4" w:space="0" w:color="000000"/>
            </w:tcBorders>
          </w:tcPr>
          <w:p>
            <w:pPr>
              <w:pStyle w:val="TableParagraph"/>
              <w:spacing w:before="29"/>
              <w:ind w:left="110"/>
              <w:rPr>
                <w:sz w:val="22"/>
              </w:rPr>
            </w:pPr>
            <w:r>
              <w:rPr>
                <w:w w:val="105"/>
                <w:sz w:val="22"/>
              </w:rPr>
              <w:t>Complete Marker Claim online</w:t>
            </w:r>
          </w:p>
        </w:tc>
      </w:tr>
      <w:tr>
        <w:trPr>
          <w:trHeight w:val="563" w:hRule="atLeast"/>
        </w:trPr>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29"/>
              <w:ind w:left="110" w:right="399"/>
              <w:rPr>
                <w:sz w:val="22"/>
              </w:rPr>
            </w:pPr>
            <w:r>
              <w:rPr>
                <w:w w:val="115"/>
                <w:sz w:val="22"/>
              </w:rPr>
              <w:t>Feb/ Mar</w:t>
            </w:r>
          </w:p>
        </w:tc>
        <w:tc>
          <w:tcPr>
            <w:tcW w:w="3799" w:type="dxa"/>
            <w:tcBorders>
              <w:top w:val="single" w:sz="4" w:space="0" w:color="000000"/>
              <w:left w:val="single" w:sz="4" w:space="0" w:color="000000"/>
              <w:bottom w:val="single" w:sz="4" w:space="0" w:color="000000"/>
              <w:right w:val="single" w:sz="4" w:space="0" w:color="000000"/>
            </w:tcBorders>
          </w:tcPr>
          <w:p>
            <w:pPr>
              <w:pStyle w:val="TableParagraph"/>
              <w:spacing w:before="29"/>
              <w:ind w:left="107"/>
              <w:rPr>
                <w:sz w:val="22"/>
              </w:rPr>
            </w:pPr>
            <w:r>
              <w:rPr>
                <w:w w:val="115"/>
                <w:sz w:val="22"/>
              </w:rPr>
              <w:t>Assess reconsiderations</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before="29"/>
              <w:ind w:left="110" w:right="370"/>
              <w:rPr>
                <w:sz w:val="22"/>
              </w:rPr>
            </w:pPr>
            <w:r>
              <w:rPr>
                <w:w w:val="115"/>
                <w:sz w:val="22"/>
              </w:rPr>
              <w:t>Feb/ Mar</w:t>
            </w:r>
          </w:p>
        </w:tc>
        <w:tc>
          <w:tcPr>
            <w:tcW w:w="4320" w:type="dxa"/>
            <w:tcBorders>
              <w:top w:val="single" w:sz="4" w:space="0" w:color="000000"/>
              <w:left w:val="single" w:sz="4" w:space="0" w:color="000000"/>
              <w:bottom w:val="single" w:sz="4" w:space="0" w:color="000000"/>
              <w:right w:val="single" w:sz="4" w:space="0" w:color="000000"/>
            </w:tcBorders>
          </w:tcPr>
          <w:p>
            <w:pPr>
              <w:pStyle w:val="TableParagraph"/>
              <w:spacing w:before="29"/>
              <w:ind w:left="110" w:right="1088"/>
              <w:rPr>
                <w:sz w:val="22"/>
              </w:rPr>
            </w:pPr>
            <w:r>
              <w:rPr>
                <w:w w:val="110"/>
                <w:sz w:val="22"/>
              </w:rPr>
              <w:t>Dispose of benchmark material, assessment schedule, etc</w:t>
            </w:r>
          </w:p>
        </w:tc>
      </w:tr>
    </w:tbl>
    <w:p>
      <w:pPr>
        <w:spacing w:after="0"/>
        <w:rPr>
          <w:sz w:val="22"/>
        </w:rPr>
        <w:sectPr>
          <w:pgSz w:w="11910" w:h="16840"/>
          <w:pgMar w:header="0" w:footer="863" w:top="1040" w:bottom="1060" w:left="740" w:right="580"/>
        </w:sectPr>
      </w:pPr>
    </w:p>
    <w:p>
      <w:pPr>
        <w:pStyle w:val="Heading1"/>
        <w:spacing w:before="63"/>
      </w:pPr>
      <w:bookmarkStart w:name="_TOC_250042" w:id="6"/>
      <w:bookmarkEnd w:id="6"/>
      <w:r>
        <w:rPr>
          <w:w w:val="105"/>
        </w:rPr>
        <w:t>BEFORE MARKING</w:t>
      </w:r>
    </w:p>
    <w:p>
      <w:pPr>
        <w:pStyle w:val="BodyText"/>
        <w:spacing w:before="4"/>
        <w:rPr>
          <w:sz w:val="31"/>
        </w:rPr>
      </w:pPr>
    </w:p>
    <w:p>
      <w:pPr>
        <w:pStyle w:val="BodyText"/>
        <w:ind w:left="392"/>
      </w:pPr>
      <w:r>
        <w:rPr>
          <w:w w:val="120"/>
        </w:rPr>
        <w:t>Enter address information</w:t>
      </w:r>
    </w:p>
    <w:p>
      <w:pPr>
        <w:pStyle w:val="BodyText"/>
        <w:spacing w:before="119"/>
        <w:ind w:left="392" w:right="769"/>
      </w:pPr>
      <w:r>
        <w:rPr>
          <w:w w:val="110"/>
        </w:rPr>
        <w:t>If you did not update your delivery address during contracting, we have set your delivery address to your school address. To avoid delays and misplaced deliveries, you must check your delivery addresses are accurate.</w:t>
      </w:r>
    </w:p>
    <w:p>
      <w:pPr>
        <w:pStyle w:val="BodyText"/>
        <w:spacing w:before="10"/>
        <w:rPr>
          <w:sz w:val="20"/>
        </w:rPr>
      </w:pPr>
    </w:p>
    <w:p>
      <w:pPr>
        <w:pStyle w:val="BodyText"/>
        <w:ind w:left="392" w:right="769"/>
      </w:pPr>
      <w:r>
        <w:rPr>
          <w:w w:val="120"/>
        </w:rPr>
        <w:t>CourierPost</w:t>
      </w:r>
      <w:r>
        <w:rPr>
          <w:spacing w:val="-11"/>
          <w:w w:val="120"/>
        </w:rPr>
        <w:t> </w:t>
      </w:r>
      <w:r>
        <w:rPr>
          <w:w w:val="120"/>
        </w:rPr>
        <w:t>will</w:t>
      </w:r>
      <w:r>
        <w:rPr>
          <w:spacing w:val="-7"/>
          <w:w w:val="120"/>
        </w:rPr>
        <w:t> </w:t>
      </w:r>
      <w:r>
        <w:rPr>
          <w:w w:val="120"/>
        </w:rPr>
        <w:t>not</w:t>
      </w:r>
      <w:r>
        <w:rPr>
          <w:spacing w:val="-7"/>
          <w:w w:val="120"/>
        </w:rPr>
        <w:t> </w:t>
      </w:r>
      <w:r>
        <w:rPr>
          <w:w w:val="120"/>
        </w:rPr>
        <w:t>leave</w:t>
      </w:r>
      <w:r>
        <w:rPr>
          <w:spacing w:val="-8"/>
          <w:w w:val="120"/>
        </w:rPr>
        <w:t> </w:t>
      </w:r>
      <w:r>
        <w:rPr>
          <w:w w:val="120"/>
        </w:rPr>
        <w:t>portfolios</w:t>
      </w:r>
      <w:r>
        <w:rPr>
          <w:spacing w:val="-7"/>
          <w:w w:val="120"/>
        </w:rPr>
        <w:t> </w:t>
      </w:r>
      <w:r>
        <w:rPr>
          <w:w w:val="120"/>
        </w:rPr>
        <w:t>at</w:t>
      </w:r>
      <w:r>
        <w:rPr>
          <w:spacing w:val="-6"/>
          <w:w w:val="120"/>
        </w:rPr>
        <w:t> </w:t>
      </w:r>
      <w:r>
        <w:rPr>
          <w:w w:val="120"/>
        </w:rPr>
        <w:t>an</w:t>
      </w:r>
      <w:r>
        <w:rPr>
          <w:spacing w:val="-9"/>
          <w:w w:val="120"/>
        </w:rPr>
        <w:t> </w:t>
      </w:r>
      <w:r>
        <w:rPr>
          <w:w w:val="120"/>
        </w:rPr>
        <w:t>address</w:t>
      </w:r>
      <w:r>
        <w:rPr>
          <w:spacing w:val="-7"/>
          <w:w w:val="120"/>
        </w:rPr>
        <w:t> </w:t>
      </w:r>
      <w:r>
        <w:rPr>
          <w:w w:val="120"/>
        </w:rPr>
        <w:t>if</w:t>
      </w:r>
      <w:r>
        <w:rPr>
          <w:spacing w:val="-6"/>
          <w:w w:val="120"/>
        </w:rPr>
        <w:t> </w:t>
      </w:r>
      <w:r>
        <w:rPr>
          <w:w w:val="120"/>
        </w:rPr>
        <w:t>no</w:t>
      </w:r>
      <w:r>
        <w:rPr>
          <w:spacing w:val="-9"/>
          <w:w w:val="120"/>
        </w:rPr>
        <w:t> </w:t>
      </w:r>
      <w:r>
        <w:rPr>
          <w:w w:val="120"/>
        </w:rPr>
        <w:t>one</w:t>
      </w:r>
      <w:r>
        <w:rPr>
          <w:spacing w:val="-10"/>
          <w:w w:val="120"/>
        </w:rPr>
        <w:t> </w:t>
      </w:r>
      <w:r>
        <w:rPr>
          <w:w w:val="120"/>
        </w:rPr>
        <w:t>is</w:t>
      </w:r>
      <w:r>
        <w:rPr>
          <w:spacing w:val="-8"/>
          <w:w w:val="120"/>
        </w:rPr>
        <w:t> </w:t>
      </w:r>
      <w:r>
        <w:rPr>
          <w:w w:val="120"/>
        </w:rPr>
        <w:t>available</w:t>
      </w:r>
      <w:r>
        <w:rPr>
          <w:spacing w:val="-7"/>
          <w:w w:val="120"/>
        </w:rPr>
        <w:t> </w:t>
      </w:r>
      <w:r>
        <w:rPr>
          <w:w w:val="120"/>
        </w:rPr>
        <w:t>to</w:t>
      </w:r>
      <w:r>
        <w:rPr>
          <w:spacing w:val="-7"/>
          <w:w w:val="120"/>
        </w:rPr>
        <w:t> </w:t>
      </w:r>
      <w:r>
        <w:rPr>
          <w:w w:val="120"/>
        </w:rPr>
        <w:t>sign</w:t>
      </w:r>
      <w:r>
        <w:rPr>
          <w:spacing w:val="-9"/>
          <w:w w:val="120"/>
        </w:rPr>
        <w:t> </w:t>
      </w:r>
      <w:r>
        <w:rPr>
          <w:w w:val="120"/>
        </w:rPr>
        <w:t>for</w:t>
      </w:r>
      <w:r>
        <w:rPr>
          <w:spacing w:val="-9"/>
          <w:w w:val="120"/>
        </w:rPr>
        <w:t> </w:t>
      </w:r>
      <w:r>
        <w:rPr>
          <w:w w:val="120"/>
        </w:rPr>
        <w:t>the delivery.</w:t>
      </w:r>
    </w:p>
    <w:p>
      <w:pPr>
        <w:pStyle w:val="BodyText"/>
        <w:spacing w:before="10"/>
        <w:rPr>
          <w:sz w:val="20"/>
        </w:rPr>
      </w:pPr>
    </w:p>
    <w:p>
      <w:pPr>
        <w:pStyle w:val="BodyText"/>
        <w:ind w:left="392"/>
      </w:pPr>
      <w:r>
        <w:rPr>
          <w:w w:val="110"/>
        </w:rPr>
        <w:t>We strongly recommend that you use a school address for portfolio deliveries before</w:t>
      </w:r>
    </w:p>
    <w:p>
      <w:pPr>
        <w:pStyle w:val="BodyText"/>
        <w:spacing w:line="465" w:lineRule="auto" w:before="2"/>
        <w:ind w:left="392" w:right="769"/>
      </w:pPr>
      <w:r>
        <w:rPr>
          <w:w w:val="110"/>
        </w:rPr>
        <w:t>9 December. After this date, CourierPost will make any further deliveries to your home address. Rural area deliveries may take up to three working days.</w:t>
      </w:r>
    </w:p>
    <w:p>
      <w:pPr>
        <w:pStyle w:val="BodyText"/>
        <w:spacing w:before="2"/>
        <w:ind w:left="392" w:right="674"/>
      </w:pPr>
      <w:r>
        <w:rPr/>
        <w:pict>
          <v:group style="position:absolute;margin-left:56.639999pt;margin-top:31.369532pt;width:481.95pt;height:242.65pt;mso-position-horizontal-relative:page;mso-position-vertical-relative:paragraph;z-index:-976;mso-wrap-distance-left:0;mso-wrap-distance-right:0" coordorigin="1133,627" coordsize="9639,4853">
            <v:line style="position:absolute" from="1133,632" to="10762,632" stroked="true" strokeweight=".480011pt" strokecolor="#000000">
              <v:stroke dashstyle="solid"/>
            </v:line>
            <v:line style="position:absolute" from="1138,637" to="1138,5480" stroked="true" strokeweight=".480005pt" strokecolor="#000000">
              <v:stroke dashstyle="solid"/>
            </v:line>
            <v:line style="position:absolute" from="1133,5475" to="10762,5475" stroked="true" strokeweight=".479966pt" strokecolor="#000000">
              <v:stroke dashstyle="solid"/>
            </v:line>
            <v:line style="position:absolute" from="10766,627" to="10766,5480" stroked="true" strokeweight=".480011pt" strokecolor="#000000">
              <v:stroke dashstyle="solid"/>
            </v:line>
            <v:shape style="position:absolute;left:1574;top:759;width:8751;height:4592" type="#_x0000_t75" stroked="false">
              <v:imagedata r:id="rId9" o:title=""/>
            </v:shape>
            <w10:wrap type="topAndBottom"/>
          </v:group>
        </w:pict>
      </w:r>
      <w:r>
        <w:rPr>
          <w:w w:val="110"/>
        </w:rPr>
        <w:t>You must use the address validation tool to enter your address. You can find the tool by following the Contact details page link on your Marker Home page.</w:t>
      </w:r>
    </w:p>
    <w:p>
      <w:pPr>
        <w:pStyle w:val="BodyText"/>
        <w:rPr>
          <w:sz w:val="10"/>
        </w:rPr>
      </w:pPr>
    </w:p>
    <w:p>
      <w:pPr>
        <w:pStyle w:val="BodyText"/>
        <w:spacing w:before="92"/>
        <w:ind w:left="454"/>
      </w:pPr>
      <w:r>
        <w:rPr/>
        <w:pict>
          <v:group style="position:absolute;margin-left:56.639999pt;margin-top:23.149576pt;width:481.95pt;height:97.7pt;mso-position-horizontal-relative:page;mso-position-vertical-relative:paragraph;z-index:-952;mso-wrap-distance-left:0;mso-wrap-distance-right:0" coordorigin="1133,463" coordsize="9639,1954">
            <v:line style="position:absolute" from="1133,468" to="10762,468" stroked="true" strokeweight=".479966pt" strokecolor="#000000">
              <v:stroke dashstyle="solid"/>
            </v:line>
            <v:line style="position:absolute" from="1138,473" to="1138,2417" stroked="true" strokeweight=".480005pt" strokecolor="#000000">
              <v:stroke dashstyle="solid"/>
            </v:line>
            <v:line style="position:absolute" from="1133,2412" to="10762,2412" stroked="true" strokeweight=".480011pt" strokecolor="#000000">
              <v:stroke dashstyle="solid"/>
            </v:line>
            <v:line style="position:absolute" from="10766,463" to="10766,2417" stroked="true" strokeweight=".480011pt" strokecolor="#000000">
              <v:stroke dashstyle="solid"/>
            </v:line>
            <v:shape style="position:absolute;left:4348;top:475;width:2946;height:1683" type="#_x0000_t75" stroked="false">
              <v:imagedata r:id="rId10" o:title=""/>
            </v:shape>
            <w10:wrap type="topAndBottom"/>
          </v:group>
        </w:pict>
      </w:r>
      <w:r>
        <w:rPr>
          <w:w w:val="120"/>
        </w:rPr>
        <w:t>On your Contact details page select Add an address.</w:t>
      </w:r>
    </w:p>
    <w:p>
      <w:pPr>
        <w:pStyle w:val="BodyText"/>
        <w:spacing w:line="220" w:lineRule="exact"/>
        <w:ind w:left="392"/>
      </w:pPr>
      <w:r>
        <w:rPr>
          <w:w w:val="110"/>
        </w:rPr>
        <w:t>Use the radio buttons to select the School or Other address type. For school addresses select the</w:t>
      </w:r>
    </w:p>
    <w:p>
      <w:pPr>
        <w:pStyle w:val="BodyText"/>
        <w:spacing w:line="465" w:lineRule="auto" w:before="1"/>
        <w:ind w:left="392" w:right="1489"/>
      </w:pPr>
      <w:r>
        <w:rPr>
          <w:w w:val="110"/>
        </w:rPr>
        <w:t>school name from the pop-up menu and the address field auto completes. Click Save. Choose, Other. Start typing; the field auto completes. Select the correct address and save.</w:t>
      </w:r>
    </w:p>
    <w:p>
      <w:pPr>
        <w:spacing w:after="0" w:line="465" w:lineRule="auto"/>
        <w:sectPr>
          <w:pgSz w:w="11910" w:h="16840"/>
          <w:pgMar w:header="0" w:footer="863" w:top="940" w:bottom="1060" w:left="740" w:right="580"/>
        </w:sectPr>
      </w:pPr>
    </w:p>
    <w:p>
      <w:pPr>
        <w:pStyle w:val="BodyText"/>
        <w:ind w:left="387"/>
        <w:rPr>
          <w:sz w:val="20"/>
        </w:rPr>
      </w:pPr>
      <w:r>
        <w:rPr>
          <w:sz w:val="20"/>
        </w:rPr>
        <w:pict>
          <v:group style="width:481.95pt;height:433.1pt;mso-position-horizontal-relative:char;mso-position-vertical-relative:line" coordorigin="0,0" coordsize="9639,8662">
            <v:line style="position:absolute" from="0,5" to="9629,5" stroked="true" strokeweight=".479999pt" strokecolor="#000000">
              <v:stroke dashstyle="solid"/>
            </v:line>
            <v:line style="position:absolute" from="5,10" to="5,8662" stroked="true" strokeweight=".480005pt" strokecolor="#000000">
              <v:stroke dashstyle="solid"/>
            </v:line>
            <v:line style="position:absolute" from="0,8657" to="9629,8657" stroked="true" strokeweight=".480011pt" strokecolor="#000000">
              <v:stroke dashstyle="solid"/>
            </v:line>
            <v:line style="position:absolute" from="9634,0" to="9634,8662" stroked="true" strokeweight=".480011pt" strokecolor="#000000">
              <v:stroke dashstyle="solid"/>
            </v:line>
            <v:shape style="position:absolute;left:333;top:132;width:8976;height:8378" type="#_x0000_t75" stroked="false">
              <v:imagedata r:id="rId11" o:title=""/>
            </v:shape>
          </v:group>
        </w:pict>
      </w:r>
      <w:r>
        <w:rPr>
          <w:sz w:val="20"/>
        </w:rPr>
      </w:r>
    </w:p>
    <w:p>
      <w:pPr>
        <w:pStyle w:val="BodyText"/>
        <w:spacing w:before="10"/>
        <w:rPr>
          <w:sz w:val="8"/>
        </w:rPr>
      </w:pPr>
    </w:p>
    <w:p>
      <w:pPr>
        <w:pStyle w:val="BodyText"/>
        <w:spacing w:line="465" w:lineRule="auto" w:before="92"/>
        <w:ind w:left="392" w:right="769"/>
      </w:pPr>
      <w:r>
        <w:rPr>
          <w:w w:val="110"/>
        </w:rPr>
        <w:t>If an address does not appear in the drop-down list, contact the Marker helpline for assistance. Repeat the process above for entering your Delivery, Home, Pick-up and Work addresses.</w:t>
      </w:r>
    </w:p>
    <w:p>
      <w:pPr>
        <w:pStyle w:val="BodyText"/>
        <w:spacing w:line="252" w:lineRule="exact" w:before="4"/>
        <w:ind w:left="392"/>
      </w:pPr>
      <w:r>
        <w:rPr>
          <w:w w:val="110"/>
        </w:rPr>
        <w:t>28 October is the last date to check and update your portfolio delivery address. From</w:t>
      </w:r>
    </w:p>
    <w:p>
      <w:pPr>
        <w:pStyle w:val="BodyText"/>
        <w:spacing w:line="252" w:lineRule="exact"/>
        <w:ind w:left="392"/>
      </w:pPr>
      <w:r>
        <w:rPr>
          <w:w w:val="110"/>
        </w:rPr>
        <w:t>this date, the address file does </w:t>
      </w:r>
      <w:r>
        <w:rPr>
          <w:spacing w:val="-2"/>
          <w:w w:val="110"/>
        </w:rPr>
        <w:t>not </w:t>
      </w:r>
      <w:r>
        <w:rPr>
          <w:w w:val="110"/>
        </w:rPr>
        <w:t>automatically update after any changes that you make</w:t>
      </w:r>
      <w:r>
        <w:rPr>
          <w:spacing w:val="55"/>
          <w:w w:val="110"/>
        </w:rPr>
        <w:t> </w:t>
      </w:r>
      <w:r>
        <w:rPr>
          <w:w w:val="110"/>
        </w:rPr>
        <w:t>online.</w:t>
      </w:r>
    </w:p>
    <w:p>
      <w:pPr>
        <w:pStyle w:val="BodyText"/>
        <w:spacing w:before="9"/>
        <w:rPr>
          <w:sz w:val="20"/>
        </w:rPr>
      </w:pPr>
    </w:p>
    <w:p>
      <w:pPr>
        <w:pStyle w:val="BodyText"/>
        <w:ind w:left="392" w:right="769"/>
      </w:pPr>
      <w:r>
        <w:rPr>
          <w:w w:val="115"/>
        </w:rPr>
        <w:t>To ensure </w:t>
      </w:r>
      <w:r>
        <w:rPr>
          <w:spacing w:val="-3"/>
          <w:w w:val="115"/>
        </w:rPr>
        <w:t>you </w:t>
      </w:r>
      <w:r>
        <w:rPr>
          <w:w w:val="115"/>
        </w:rPr>
        <w:t>receive your portfolios, you must notify the Marker helpline of delivery</w:t>
      </w:r>
      <w:r>
        <w:rPr>
          <w:spacing w:val="63"/>
          <w:w w:val="115"/>
        </w:rPr>
        <w:t> </w:t>
      </w:r>
      <w:r>
        <w:rPr>
          <w:w w:val="115"/>
        </w:rPr>
        <w:t>address changes made from 28 October onwards.</w:t>
      </w:r>
    </w:p>
    <w:p>
      <w:pPr>
        <w:spacing w:after="0"/>
        <w:sectPr>
          <w:pgSz w:w="11910" w:h="16840"/>
          <w:pgMar w:header="0" w:footer="863" w:top="1000" w:bottom="1060" w:left="740" w:right="580"/>
        </w:sectPr>
      </w:pPr>
    </w:p>
    <w:p>
      <w:pPr>
        <w:pStyle w:val="Heading3"/>
        <w:spacing w:before="63"/>
      </w:pPr>
      <w:bookmarkStart w:name="_TOC_250041" w:id="7"/>
      <w:bookmarkEnd w:id="7"/>
      <w:r>
        <w:rPr>
          <w:w w:val="115"/>
        </w:rPr>
        <w:t>Logging into your marking home page</w:t>
      </w:r>
    </w:p>
    <w:p>
      <w:pPr>
        <w:pStyle w:val="BodyText"/>
        <w:spacing w:before="120"/>
        <w:ind w:left="392"/>
      </w:pPr>
      <w:r>
        <w:rPr>
          <w:w w:val="105"/>
        </w:rPr>
        <w:t>To change your details, go to </w:t>
      </w:r>
      <w:hyperlink r:id="rId13">
        <w:r>
          <w:rPr>
            <w:color w:val="0000FF"/>
            <w:w w:val="105"/>
            <w:u w:val="single" w:color="0000FF"/>
          </w:rPr>
          <w:t>http://www.nzqa.govt.nz/login/.</w:t>
        </w:r>
      </w:hyperlink>
    </w:p>
    <w:p>
      <w:pPr>
        <w:pStyle w:val="BodyText"/>
        <w:spacing w:before="10"/>
        <w:rPr>
          <w:sz w:val="12"/>
        </w:rPr>
      </w:pPr>
    </w:p>
    <w:p>
      <w:pPr>
        <w:pStyle w:val="BodyText"/>
        <w:spacing w:before="91"/>
        <w:ind w:left="392"/>
      </w:pPr>
      <w:r>
        <w:rPr>
          <w:w w:val="110"/>
        </w:rPr>
        <w:t>On the Login page, click on </w:t>
      </w:r>
      <w:r>
        <w:rPr>
          <w:color w:val="0000FF"/>
          <w:w w:val="110"/>
          <w:u w:val="single" w:color="0000FF"/>
        </w:rPr>
        <w:t>All other users Login</w:t>
      </w:r>
      <w:r>
        <w:rPr>
          <w:color w:val="0000FF"/>
          <w:w w:val="110"/>
        </w:rPr>
        <w:t> </w:t>
      </w:r>
      <w:r>
        <w:rPr>
          <w:w w:val="110"/>
        </w:rPr>
        <w:t>and enter your user name/ID and password.</w:t>
      </w:r>
    </w:p>
    <w:p>
      <w:pPr>
        <w:pStyle w:val="BodyText"/>
        <w:spacing w:before="1"/>
        <w:rPr>
          <w:sz w:val="13"/>
        </w:rPr>
      </w:pPr>
    </w:p>
    <w:p>
      <w:pPr>
        <w:pStyle w:val="BodyText"/>
        <w:spacing w:before="91"/>
        <w:ind w:left="392" w:right="580"/>
      </w:pPr>
      <w:r>
        <w:rPr/>
        <w:pict>
          <v:group style="position:absolute;margin-left:56.639999pt;margin-top:48.419525pt;width:481.95pt;height:215.05pt;mso-position-horizontal-relative:page;mso-position-vertical-relative:paragraph;z-index:-904;mso-wrap-distance-left:0;mso-wrap-distance-right:0" coordorigin="1133,968" coordsize="9639,4301">
            <v:line style="position:absolute" from="1133,973" to="10762,973" stroked="true" strokeweight=".48pt" strokecolor="#000000">
              <v:stroke dashstyle="solid"/>
            </v:line>
            <v:rect style="position:absolute;left:10761;top:968;width:10;height:10" filled="true" fillcolor="#000000" stroked="false">
              <v:fill type="solid"/>
            </v:rect>
            <v:line style="position:absolute" from="1138,978" to="1138,5269" stroked="true" strokeweight=".480005pt" strokecolor="#000000">
              <v:stroke dashstyle="solid"/>
            </v:line>
            <v:line style="position:absolute" from="1133,5264" to="10762,5264" stroked="true" strokeweight=".480011pt" strokecolor="#000000">
              <v:stroke dashstyle="solid"/>
            </v:line>
            <v:line style="position:absolute" from="10766,978" to="10766,5269" stroked="true" strokeweight=".480011pt" strokecolor="#000000">
              <v:stroke dashstyle="solid"/>
            </v:line>
            <v:shape style="position:absolute;left:2138;top:1018;width:7632;height:4196" type="#_x0000_t75" stroked="false">
              <v:imagedata r:id="rId14" o:title=""/>
            </v:shape>
            <w10:wrap type="topAndBottom"/>
          </v:group>
        </w:pict>
      </w:r>
      <w:r>
        <w:rPr>
          <w:w w:val="110"/>
        </w:rPr>
        <w:t>Select Marking Home page, then click on View Your Details. Please note any changes made to your details on QAccess will not be updated on your Marking Home page. You will need to update these separately.</w:t>
      </w:r>
    </w:p>
    <w:p>
      <w:pPr>
        <w:pStyle w:val="BodyText"/>
        <w:spacing w:before="4"/>
        <w:rPr>
          <w:sz w:val="10"/>
        </w:rPr>
      </w:pPr>
    </w:p>
    <w:p>
      <w:pPr>
        <w:pStyle w:val="Heading3"/>
        <w:spacing w:before="89"/>
      </w:pPr>
      <w:bookmarkStart w:name="_TOC_250040" w:id="8"/>
      <w:bookmarkEnd w:id="8"/>
      <w:r>
        <w:rPr>
          <w:w w:val="115"/>
        </w:rPr>
        <w:t>Pre-approval process for travel over 100 km</w:t>
      </w:r>
    </w:p>
    <w:p>
      <w:pPr>
        <w:pStyle w:val="BodyText"/>
        <w:spacing w:before="117"/>
        <w:ind w:left="392" w:right="769"/>
      </w:pPr>
      <w:r>
        <w:rPr>
          <w:w w:val="110"/>
        </w:rPr>
        <w:t>The marking incidental fee covers the first 100 km of travel to panel and any other marking meetings. If your travel is likely to exceed 100 km and you require payment for the extra kilometres, you must request pre-approval from your NAF. Complete the online </w:t>
      </w:r>
      <w:r>
        <w:rPr>
          <w:color w:val="0000FF"/>
          <w:w w:val="110"/>
          <w:u w:val="single" w:color="0000FF"/>
        </w:rPr>
        <w:t>Pre-approved</w:t>
      </w:r>
      <w:r>
        <w:rPr>
          <w:color w:val="0000FF"/>
          <w:w w:val="110"/>
        </w:rPr>
        <w:t> </w:t>
      </w:r>
      <w:r>
        <w:rPr>
          <w:color w:val="0000FF"/>
          <w:w w:val="110"/>
          <w:u w:val="single" w:color="0000FF"/>
        </w:rPr>
        <w:t>Travel</w:t>
      </w:r>
      <w:r>
        <w:rPr>
          <w:color w:val="0000FF"/>
          <w:spacing w:val="-8"/>
          <w:w w:val="110"/>
          <w:u w:val="single" w:color="0000FF"/>
        </w:rPr>
        <w:t> </w:t>
      </w:r>
      <w:r>
        <w:rPr>
          <w:color w:val="0000FF"/>
          <w:w w:val="110"/>
          <w:u w:val="single" w:color="0000FF"/>
        </w:rPr>
        <w:t>Form</w:t>
      </w:r>
      <w:r>
        <w:rPr>
          <w:color w:val="0000FF"/>
          <w:spacing w:val="-9"/>
          <w:w w:val="110"/>
        </w:rPr>
        <w:t> </w:t>
      </w:r>
      <w:r>
        <w:rPr>
          <w:w w:val="110"/>
        </w:rPr>
        <w:t>by</w:t>
      </w:r>
      <w:r>
        <w:rPr>
          <w:spacing w:val="-10"/>
          <w:w w:val="110"/>
        </w:rPr>
        <w:t> </w:t>
      </w:r>
      <w:r>
        <w:rPr>
          <w:w w:val="110"/>
        </w:rPr>
        <w:t>28</w:t>
      </w:r>
      <w:r>
        <w:rPr>
          <w:spacing w:val="-7"/>
          <w:w w:val="110"/>
        </w:rPr>
        <w:t> </w:t>
      </w:r>
      <w:r>
        <w:rPr>
          <w:w w:val="110"/>
        </w:rPr>
        <w:t>October.</w:t>
      </w:r>
      <w:r>
        <w:rPr>
          <w:spacing w:val="-10"/>
          <w:w w:val="110"/>
        </w:rPr>
        <w:t> </w:t>
      </w:r>
      <w:r>
        <w:rPr>
          <w:w w:val="110"/>
        </w:rPr>
        <w:t>If</w:t>
      </w:r>
      <w:r>
        <w:rPr>
          <w:spacing w:val="-5"/>
          <w:w w:val="110"/>
        </w:rPr>
        <w:t> </w:t>
      </w:r>
      <w:r>
        <w:rPr>
          <w:w w:val="110"/>
        </w:rPr>
        <w:t>you</w:t>
      </w:r>
      <w:r>
        <w:rPr>
          <w:spacing w:val="-7"/>
          <w:w w:val="110"/>
        </w:rPr>
        <w:t> </w:t>
      </w:r>
      <w:r>
        <w:rPr>
          <w:w w:val="110"/>
        </w:rPr>
        <w:t>anticipate</w:t>
      </w:r>
      <w:r>
        <w:rPr>
          <w:spacing w:val="-11"/>
          <w:w w:val="110"/>
        </w:rPr>
        <w:t> </w:t>
      </w:r>
      <w:r>
        <w:rPr>
          <w:w w:val="110"/>
        </w:rPr>
        <w:t>any</w:t>
      </w:r>
      <w:r>
        <w:rPr>
          <w:spacing w:val="-11"/>
          <w:w w:val="110"/>
        </w:rPr>
        <w:t> </w:t>
      </w:r>
      <w:r>
        <w:rPr>
          <w:w w:val="110"/>
        </w:rPr>
        <w:t>difficulty</w:t>
      </w:r>
      <w:r>
        <w:rPr>
          <w:spacing w:val="-7"/>
          <w:w w:val="110"/>
        </w:rPr>
        <w:t> </w:t>
      </w:r>
      <w:r>
        <w:rPr>
          <w:w w:val="110"/>
        </w:rPr>
        <w:t>completing</w:t>
      </w:r>
      <w:r>
        <w:rPr>
          <w:spacing w:val="-8"/>
          <w:w w:val="110"/>
        </w:rPr>
        <w:t> </w:t>
      </w:r>
      <w:r>
        <w:rPr>
          <w:w w:val="110"/>
        </w:rPr>
        <w:t>this</w:t>
      </w:r>
      <w:r>
        <w:rPr>
          <w:spacing w:val="-9"/>
          <w:w w:val="110"/>
        </w:rPr>
        <w:t> </w:t>
      </w:r>
      <w:r>
        <w:rPr>
          <w:w w:val="110"/>
        </w:rPr>
        <w:t>process,</w:t>
      </w:r>
      <w:r>
        <w:rPr>
          <w:spacing w:val="-6"/>
          <w:w w:val="110"/>
        </w:rPr>
        <w:t> </w:t>
      </w:r>
      <w:r>
        <w:rPr>
          <w:w w:val="110"/>
        </w:rPr>
        <w:t>please</w:t>
      </w:r>
      <w:r>
        <w:rPr>
          <w:spacing w:val="-7"/>
          <w:w w:val="110"/>
        </w:rPr>
        <w:t> </w:t>
      </w:r>
      <w:r>
        <w:rPr>
          <w:w w:val="110"/>
        </w:rPr>
        <w:t>phone the Marker Helpline 0800 222</w:t>
      </w:r>
      <w:r>
        <w:rPr>
          <w:spacing w:val="1"/>
          <w:w w:val="110"/>
        </w:rPr>
        <w:t> </w:t>
      </w:r>
      <w:r>
        <w:rPr>
          <w:w w:val="110"/>
        </w:rPr>
        <w:t>230.</w:t>
      </w:r>
    </w:p>
    <w:p>
      <w:pPr>
        <w:pStyle w:val="BodyText"/>
        <w:spacing w:before="10"/>
        <w:rPr>
          <w:sz w:val="20"/>
        </w:rPr>
      </w:pPr>
    </w:p>
    <w:p>
      <w:pPr>
        <w:pStyle w:val="BodyText"/>
        <w:ind w:left="392" w:right="566"/>
        <w:jc w:val="both"/>
      </w:pPr>
      <w:r>
        <w:rPr>
          <w:w w:val="110"/>
        </w:rPr>
        <w:t>Payment</w:t>
      </w:r>
      <w:r>
        <w:rPr>
          <w:spacing w:val="-10"/>
          <w:w w:val="110"/>
        </w:rPr>
        <w:t> </w:t>
      </w:r>
      <w:r>
        <w:rPr>
          <w:w w:val="110"/>
        </w:rPr>
        <w:t>is</w:t>
      </w:r>
      <w:r>
        <w:rPr>
          <w:spacing w:val="-9"/>
          <w:w w:val="110"/>
        </w:rPr>
        <w:t> </w:t>
      </w:r>
      <w:r>
        <w:rPr>
          <w:w w:val="110"/>
        </w:rPr>
        <w:t>conditional</w:t>
      </w:r>
      <w:r>
        <w:rPr>
          <w:spacing w:val="-12"/>
          <w:w w:val="110"/>
        </w:rPr>
        <w:t> </w:t>
      </w:r>
      <w:r>
        <w:rPr>
          <w:w w:val="110"/>
        </w:rPr>
        <w:t>on</w:t>
      </w:r>
      <w:r>
        <w:rPr>
          <w:spacing w:val="-12"/>
          <w:w w:val="110"/>
        </w:rPr>
        <w:t> </w:t>
      </w:r>
      <w:r>
        <w:rPr>
          <w:w w:val="110"/>
        </w:rPr>
        <w:t>a</w:t>
      </w:r>
      <w:r>
        <w:rPr>
          <w:spacing w:val="-9"/>
          <w:w w:val="110"/>
        </w:rPr>
        <w:t> </w:t>
      </w:r>
      <w:r>
        <w:rPr>
          <w:w w:val="110"/>
        </w:rPr>
        <w:t>pre-approval</w:t>
      </w:r>
      <w:r>
        <w:rPr>
          <w:spacing w:val="-12"/>
          <w:w w:val="110"/>
        </w:rPr>
        <w:t> </w:t>
      </w:r>
      <w:r>
        <w:rPr>
          <w:w w:val="110"/>
        </w:rPr>
        <w:t>form</w:t>
      </w:r>
      <w:r>
        <w:rPr>
          <w:spacing w:val="-11"/>
          <w:w w:val="110"/>
        </w:rPr>
        <w:t> </w:t>
      </w:r>
      <w:r>
        <w:rPr>
          <w:w w:val="110"/>
        </w:rPr>
        <w:t>being</w:t>
      </w:r>
      <w:r>
        <w:rPr>
          <w:spacing w:val="-11"/>
          <w:w w:val="110"/>
        </w:rPr>
        <w:t> </w:t>
      </w:r>
      <w:r>
        <w:rPr>
          <w:w w:val="110"/>
        </w:rPr>
        <w:t>received</w:t>
      </w:r>
      <w:r>
        <w:rPr>
          <w:spacing w:val="-12"/>
          <w:w w:val="110"/>
        </w:rPr>
        <w:t> </w:t>
      </w:r>
      <w:r>
        <w:rPr>
          <w:w w:val="110"/>
        </w:rPr>
        <w:t>by</w:t>
      </w:r>
      <w:r>
        <w:rPr>
          <w:spacing w:val="-12"/>
          <w:w w:val="110"/>
        </w:rPr>
        <w:t> </w:t>
      </w:r>
      <w:r>
        <w:rPr>
          <w:w w:val="110"/>
        </w:rPr>
        <w:t>NZQA.</w:t>
      </w:r>
      <w:r>
        <w:rPr>
          <w:spacing w:val="-11"/>
          <w:w w:val="110"/>
        </w:rPr>
        <w:t> </w:t>
      </w:r>
      <w:r>
        <w:rPr>
          <w:w w:val="110"/>
        </w:rPr>
        <w:t>Where</w:t>
      </w:r>
      <w:r>
        <w:rPr>
          <w:spacing w:val="-13"/>
          <w:w w:val="110"/>
        </w:rPr>
        <w:t> </w:t>
      </w:r>
      <w:r>
        <w:rPr>
          <w:w w:val="110"/>
        </w:rPr>
        <w:t>you</w:t>
      </w:r>
      <w:r>
        <w:rPr>
          <w:spacing w:val="-11"/>
          <w:w w:val="110"/>
        </w:rPr>
        <w:t> </w:t>
      </w:r>
      <w:r>
        <w:rPr>
          <w:w w:val="110"/>
        </w:rPr>
        <w:t>claim</w:t>
      </w:r>
      <w:r>
        <w:rPr>
          <w:spacing w:val="-12"/>
          <w:w w:val="110"/>
        </w:rPr>
        <w:t> </w:t>
      </w:r>
      <w:r>
        <w:rPr>
          <w:w w:val="110"/>
        </w:rPr>
        <w:t>for</w:t>
      </w:r>
      <w:r>
        <w:rPr>
          <w:spacing w:val="-11"/>
          <w:w w:val="110"/>
        </w:rPr>
        <w:t> </w:t>
      </w:r>
      <w:r>
        <w:rPr>
          <w:w w:val="110"/>
        </w:rPr>
        <w:t>travel over 100 kilometres, and a Pre-approval Travel Request Form has not been completed, your claim may be</w:t>
      </w:r>
      <w:r>
        <w:rPr>
          <w:spacing w:val="-1"/>
          <w:w w:val="110"/>
        </w:rPr>
        <w:t> </w:t>
      </w:r>
      <w:r>
        <w:rPr>
          <w:w w:val="110"/>
        </w:rPr>
        <w:t>delayed.</w:t>
      </w:r>
    </w:p>
    <w:p>
      <w:pPr>
        <w:pStyle w:val="BodyText"/>
        <w:spacing w:before="2"/>
        <w:rPr>
          <w:sz w:val="21"/>
        </w:rPr>
      </w:pPr>
    </w:p>
    <w:p>
      <w:pPr>
        <w:pStyle w:val="Heading3"/>
      </w:pPr>
      <w:bookmarkStart w:name="_TOC_250039" w:id="9"/>
      <w:bookmarkEnd w:id="9"/>
      <w:r>
        <w:rPr>
          <w:w w:val="120"/>
        </w:rPr>
        <w:t>Marker pack</w:t>
      </w:r>
    </w:p>
    <w:p>
      <w:pPr>
        <w:pStyle w:val="BodyText"/>
        <w:spacing w:before="117"/>
        <w:ind w:left="392" w:right="1489"/>
      </w:pPr>
      <w:r>
        <w:rPr>
          <w:w w:val="110"/>
        </w:rPr>
        <w:t>A marker pack of stationery and courier materials will be sent to your delivery address by 23 October. It contains:</w:t>
      </w:r>
    </w:p>
    <w:p>
      <w:pPr>
        <w:pStyle w:val="ListParagraph"/>
        <w:numPr>
          <w:ilvl w:val="0"/>
          <w:numId w:val="2"/>
        </w:numPr>
        <w:tabs>
          <w:tab w:pos="749" w:val="left" w:leader="none"/>
          <w:tab w:pos="750" w:val="left" w:leader="none"/>
        </w:tabs>
        <w:spacing w:line="240" w:lineRule="auto" w:before="78" w:after="0"/>
        <w:ind w:left="750" w:right="1503" w:hanging="358"/>
        <w:jc w:val="left"/>
        <w:rPr>
          <w:sz w:val="22"/>
        </w:rPr>
      </w:pPr>
      <w:r>
        <w:rPr>
          <w:w w:val="110"/>
          <w:sz w:val="22"/>
        </w:rPr>
        <w:t>an orange pre-addressed courier </w:t>
      </w:r>
      <w:r>
        <w:rPr>
          <w:spacing w:val="-2"/>
          <w:w w:val="110"/>
          <w:sz w:val="22"/>
        </w:rPr>
        <w:t>bag </w:t>
      </w:r>
      <w:r>
        <w:rPr>
          <w:w w:val="110"/>
          <w:sz w:val="22"/>
        </w:rPr>
        <w:t>(for returning unused materials, processed non- personalised (blank) Assessment Envelopes and Control Sheets to</w:t>
      </w:r>
      <w:r>
        <w:rPr>
          <w:spacing w:val="15"/>
          <w:w w:val="110"/>
          <w:sz w:val="22"/>
        </w:rPr>
        <w:t> </w:t>
      </w:r>
      <w:r>
        <w:rPr>
          <w:w w:val="110"/>
          <w:sz w:val="22"/>
        </w:rPr>
        <w:t>NZQA)</w:t>
      </w:r>
    </w:p>
    <w:p>
      <w:pPr>
        <w:pStyle w:val="ListParagraph"/>
        <w:numPr>
          <w:ilvl w:val="0"/>
          <w:numId w:val="2"/>
        </w:numPr>
        <w:tabs>
          <w:tab w:pos="752" w:val="left" w:leader="none"/>
          <w:tab w:pos="753" w:val="left" w:leader="none"/>
        </w:tabs>
        <w:spacing w:line="240" w:lineRule="auto" w:before="72" w:after="0"/>
        <w:ind w:left="752" w:right="1218" w:hanging="360"/>
        <w:jc w:val="left"/>
        <w:rPr>
          <w:sz w:val="22"/>
        </w:rPr>
      </w:pPr>
      <w:r>
        <w:rPr>
          <w:w w:val="110"/>
          <w:sz w:val="22"/>
        </w:rPr>
        <w:t>Blue CourierPost bags (for the movement of portfolios to the check marker). Return any unused</w:t>
      </w:r>
      <w:r>
        <w:rPr>
          <w:spacing w:val="2"/>
          <w:w w:val="110"/>
          <w:sz w:val="22"/>
        </w:rPr>
        <w:t> </w:t>
      </w:r>
      <w:r>
        <w:rPr>
          <w:w w:val="110"/>
          <w:sz w:val="22"/>
        </w:rPr>
        <w:t>bags</w:t>
      </w:r>
    </w:p>
    <w:p>
      <w:pPr>
        <w:pStyle w:val="ListParagraph"/>
        <w:numPr>
          <w:ilvl w:val="0"/>
          <w:numId w:val="2"/>
        </w:numPr>
        <w:tabs>
          <w:tab w:pos="751" w:val="left" w:leader="none"/>
          <w:tab w:pos="752" w:val="left" w:leader="none"/>
        </w:tabs>
        <w:spacing w:line="240" w:lineRule="auto" w:before="77" w:after="0"/>
        <w:ind w:left="751" w:right="0" w:hanging="359"/>
        <w:jc w:val="left"/>
        <w:rPr>
          <w:sz w:val="22"/>
        </w:rPr>
      </w:pPr>
      <w:r>
        <w:rPr>
          <w:w w:val="110"/>
          <w:sz w:val="22"/>
        </w:rPr>
        <w:t>CourierPost labels addressed to the panel leader/check marker for check</w:t>
      </w:r>
      <w:r>
        <w:rPr>
          <w:spacing w:val="21"/>
          <w:w w:val="110"/>
          <w:sz w:val="22"/>
        </w:rPr>
        <w:t> </w:t>
      </w:r>
      <w:r>
        <w:rPr>
          <w:w w:val="110"/>
          <w:sz w:val="22"/>
        </w:rPr>
        <w:t>marking</w:t>
      </w:r>
    </w:p>
    <w:p>
      <w:pPr>
        <w:pStyle w:val="ListParagraph"/>
        <w:numPr>
          <w:ilvl w:val="0"/>
          <w:numId w:val="2"/>
        </w:numPr>
        <w:tabs>
          <w:tab w:pos="751" w:val="left" w:leader="none"/>
          <w:tab w:pos="752" w:val="left" w:leader="none"/>
        </w:tabs>
        <w:spacing w:line="240" w:lineRule="auto" w:before="74" w:after="0"/>
        <w:ind w:left="752" w:right="855" w:hanging="360"/>
        <w:jc w:val="left"/>
        <w:rPr>
          <w:sz w:val="22"/>
        </w:rPr>
      </w:pPr>
      <w:r>
        <w:rPr>
          <w:w w:val="110"/>
          <w:sz w:val="22"/>
        </w:rPr>
        <w:t>2 x cartons and courier labels for returning assessed portfolios to Bluestar (use </w:t>
      </w:r>
      <w:r>
        <w:rPr>
          <w:spacing w:val="-3"/>
          <w:w w:val="110"/>
          <w:sz w:val="22"/>
        </w:rPr>
        <w:t>if </w:t>
      </w:r>
      <w:r>
        <w:rPr>
          <w:w w:val="110"/>
          <w:sz w:val="22"/>
        </w:rPr>
        <w:t>the original cartons are</w:t>
      </w:r>
      <w:r>
        <w:rPr>
          <w:spacing w:val="-1"/>
          <w:w w:val="110"/>
          <w:sz w:val="22"/>
        </w:rPr>
        <w:t> </w:t>
      </w:r>
      <w:r>
        <w:rPr>
          <w:w w:val="110"/>
          <w:sz w:val="22"/>
        </w:rPr>
        <w:t>damaged)</w:t>
      </w:r>
    </w:p>
    <w:p>
      <w:pPr>
        <w:pStyle w:val="ListParagraph"/>
        <w:numPr>
          <w:ilvl w:val="0"/>
          <w:numId w:val="2"/>
        </w:numPr>
        <w:tabs>
          <w:tab w:pos="751" w:val="left" w:leader="none"/>
          <w:tab w:pos="752" w:val="left" w:leader="none"/>
        </w:tabs>
        <w:spacing w:line="240" w:lineRule="auto" w:before="74" w:after="0"/>
        <w:ind w:left="751" w:right="0" w:hanging="359"/>
        <w:jc w:val="left"/>
        <w:rPr>
          <w:sz w:val="22"/>
        </w:rPr>
      </w:pPr>
      <w:r>
        <w:rPr>
          <w:w w:val="110"/>
          <w:sz w:val="22"/>
        </w:rPr>
        <w:t>10 x spare envelopes for candidate material (use if the original envelope is</w:t>
      </w:r>
      <w:r>
        <w:rPr>
          <w:spacing w:val="23"/>
          <w:w w:val="110"/>
          <w:sz w:val="22"/>
        </w:rPr>
        <w:t> </w:t>
      </w:r>
      <w:r>
        <w:rPr>
          <w:w w:val="110"/>
          <w:sz w:val="22"/>
        </w:rPr>
        <w:t>damaged)</w:t>
      </w:r>
    </w:p>
    <w:p>
      <w:pPr>
        <w:pStyle w:val="ListParagraph"/>
        <w:numPr>
          <w:ilvl w:val="0"/>
          <w:numId w:val="2"/>
        </w:numPr>
        <w:tabs>
          <w:tab w:pos="751" w:val="left" w:leader="none"/>
          <w:tab w:pos="752" w:val="left" w:leader="none"/>
        </w:tabs>
        <w:spacing w:line="240" w:lineRule="auto" w:before="76" w:after="0"/>
        <w:ind w:left="752" w:right="1280" w:hanging="360"/>
        <w:jc w:val="left"/>
        <w:rPr>
          <w:sz w:val="22"/>
        </w:rPr>
      </w:pPr>
      <w:r>
        <w:rPr>
          <w:w w:val="110"/>
          <w:sz w:val="22"/>
        </w:rPr>
        <w:t>10</w:t>
      </w:r>
      <w:r>
        <w:rPr>
          <w:spacing w:val="-10"/>
          <w:w w:val="110"/>
          <w:sz w:val="22"/>
        </w:rPr>
        <w:t> </w:t>
      </w:r>
      <w:r>
        <w:rPr>
          <w:w w:val="110"/>
          <w:sz w:val="22"/>
        </w:rPr>
        <w:t>x</w:t>
      </w:r>
      <w:r>
        <w:rPr>
          <w:spacing w:val="-10"/>
          <w:w w:val="110"/>
          <w:sz w:val="22"/>
        </w:rPr>
        <w:t> </w:t>
      </w:r>
      <w:r>
        <w:rPr>
          <w:w w:val="110"/>
          <w:sz w:val="22"/>
        </w:rPr>
        <w:t>A3</w:t>
      </w:r>
      <w:r>
        <w:rPr>
          <w:spacing w:val="-8"/>
          <w:w w:val="110"/>
          <w:sz w:val="22"/>
        </w:rPr>
        <w:t> </w:t>
      </w:r>
      <w:r>
        <w:rPr>
          <w:w w:val="110"/>
          <w:sz w:val="22"/>
        </w:rPr>
        <w:t>clear</w:t>
      </w:r>
      <w:r>
        <w:rPr>
          <w:spacing w:val="-9"/>
          <w:w w:val="110"/>
          <w:sz w:val="22"/>
        </w:rPr>
        <w:t> </w:t>
      </w:r>
      <w:r>
        <w:rPr>
          <w:w w:val="110"/>
          <w:sz w:val="22"/>
        </w:rPr>
        <w:t>plastic</w:t>
      </w:r>
      <w:r>
        <w:rPr>
          <w:spacing w:val="-9"/>
          <w:w w:val="110"/>
          <w:sz w:val="22"/>
        </w:rPr>
        <w:t> </w:t>
      </w:r>
      <w:r>
        <w:rPr>
          <w:w w:val="110"/>
          <w:sz w:val="22"/>
        </w:rPr>
        <w:t>bags</w:t>
      </w:r>
      <w:r>
        <w:rPr>
          <w:spacing w:val="-10"/>
          <w:w w:val="110"/>
          <w:sz w:val="22"/>
        </w:rPr>
        <w:t> </w:t>
      </w:r>
      <w:r>
        <w:rPr>
          <w:w w:val="110"/>
          <w:sz w:val="22"/>
        </w:rPr>
        <w:t>(for</w:t>
      </w:r>
      <w:r>
        <w:rPr>
          <w:spacing w:val="-9"/>
          <w:w w:val="110"/>
          <w:sz w:val="22"/>
        </w:rPr>
        <w:t> </w:t>
      </w:r>
      <w:r>
        <w:rPr>
          <w:w w:val="110"/>
          <w:sz w:val="22"/>
        </w:rPr>
        <w:t>combined</w:t>
      </w:r>
      <w:r>
        <w:rPr>
          <w:spacing w:val="-10"/>
          <w:w w:val="110"/>
          <w:sz w:val="22"/>
        </w:rPr>
        <w:t> </w:t>
      </w:r>
      <w:r>
        <w:rPr>
          <w:w w:val="110"/>
          <w:sz w:val="22"/>
        </w:rPr>
        <w:t>NCEA</w:t>
      </w:r>
      <w:r>
        <w:rPr>
          <w:spacing w:val="-10"/>
          <w:w w:val="110"/>
          <w:sz w:val="22"/>
        </w:rPr>
        <w:t> </w:t>
      </w:r>
      <w:r>
        <w:rPr>
          <w:w w:val="110"/>
          <w:sz w:val="22"/>
        </w:rPr>
        <w:t>and</w:t>
      </w:r>
      <w:r>
        <w:rPr>
          <w:spacing w:val="-10"/>
          <w:w w:val="110"/>
          <w:sz w:val="22"/>
        </w:rPr>
        <w:t> </w:t>
      </w:r>
      <w:r>
        <w:rPr>
          <w:w w:val="110"/>
          <w:sz w:val="22"/>
        </w:rPr>
        <w:t>NZ</w:t>
      </w:r>
      <w:r>
        <w:rPr>
          <w:spacing w:val="-9"/>
          <w:w w:val="110"/>
          <w:sz w:val="22"/>
        </w:rPr>
        <w:t> </w:t>
      </w:r>
      <w:r>
        <w:rPr>
          <w:w w:val="110"/>
          <w:sz w:val="22"/>
        </w:rPr>
        <w:t>Scholarship</w:t>
      </w:r>
      <w:r>
        <w:rPr>
          <w:spacing w:val="-9"/>
          <w:w w:val="110"/>
          <w:sz w:val="22"/>
        </w:rPr>
        <w:t> </w:t>
      </w:r>
      <w:r>
        <w:rPr>
          <w:w w:val="110"/>
          <w:sz w:val="22"/>
        </w:rPr>
        <w:t>portfolios,</w:t>
      </w:r>
      <w:r>
        <w:rPr>
          <w:spacing w:val="-7"/>
          <w:w w:val="110"/>
          <w:sz w:val="22"/>
        </w:rPr>
        <w:t> </w:t>
      </w:r>
      <w:r>
        <w:rPr>
          <w:w w:val="110"/>
          <w:sz w:val="22"/>
        </w:rPr>
        <w:t>use</w:t>
      </w:r>
      <w:r>
        <w:rPr>
          <w:spacing w:val="-10"/>
          <w:w w:val="110"/>
          <w:sz w:val="22"/>
        </w:rPr>
        <w:t> </w:t>
      </w:r>
      <w:r>
        <w:rPr>
          <w:w w:val="110"/>
          <w:sz w:val="22"/>
        </w:rPr>
        <w:t>if</w:t>
      </w:r>
      <w:r>
        <w:rPr>
          <w:spacing w:val="-7"/>
          <w:w w:val="110"/>
          <w:sz w:val="22"/>
        </w:rPr>
        <w:t> </w:t>
      </w:r>
      <w:r>
        <w:rPr>
          <w:w w:val="110"/>
          <w:sz w:val="22"/>
        </w:rPr>
        <w:t>the original is damaged)</w:t>
      </w:r>
    </w:p>
    <w:p>
      <w:pPr>
        <w:pStyle w:val="ListParagraph"/>
        <w:numPr>
          <w:ilvl w:val="0"/>
          <w:numId w:val="2"/>
        </w:numPr>
        <w:tabs>
          <w:tab w:pos="751" w:val="left" w:leader="none"/>
          <w:tab w:pos="752" w:val="left" w:leader="none"/>
        </w:tabs>
        <w:spacing w:line="240" w:lineRule="auto" w:before="75" w:after="0"/>
        <w:ind w:left="751" w:right="0" w:hanging="359"/>
        <w:jc w:val="left"/>
        <w:rPr>
          <w:sz w:val="22"/>
        </w:rPr>
      </w:pPr>
      <w:r>
        <w:rPr>
          <w:w w:val="105"/>
          <w:sz w:val="22"/>
        </w:rPr>
        <w:t>2 ‘Saturday Delivery-only’ stickers for use, </w:t>
      </w:r>
      <w:r>
        <w:rPr>
          <w:spacing w:val="-3"/>
          <w:w w:val="105"/>
          <w:sz w:val="22"/>
        </w:rPr>
        <w:t>if</w:t>
      </w:r>
      <w:r>
        <w:rPr>
          <w:spacing w:val="24"/>
          <w:w w:val="105"/>
          <w:sz w:val="22"/>
        </w:rPr>
        <w:t> </w:t>
      </w:r>
      <w:r>
        <w:rPr>
          <w:w w:val="105"/>
          <w:sz w:val="22"/>
        </w:rPr>
        <w:t>required</w:t>
      </w:r>
    </w:p>
    <w:p>
      <w:pPr>
        <w:pStyle w:val="ListParagraph"/>
        <w:numPr>
          <w:ilvl w:val="0"/>
          <w:numId w:val="2"/>
        </w:numPr>
        <w:tabs>
          <w:tab w:pos="751" w:val="left" w:leader="none"/>
          <w:tab w:pos="752" w:val="left" w:leader="none"/>
        </w:tabs>
        <w:spacing w:line="240" w:lineRule="auto" w:before="76" w:after="0"/>
        <w:ind w:left="751" w:right="0" w:hanging="359"/>
        <w:jc w:val="left"/>
        <w:rPr>
          <w:sz w:val="22"/>
        </w:rPr>
      </w:pPr>
      <w:r>
        <w:rPr>
          <w:w w:val="110"/>
          <w:sz w:val="22"/>
        </w:rPr>
        <w:t>Adhesive tape for resealing portfolio</w:t>
      </w:r>
      <w:r>
        <w:rPr>
          <w:spacing w:val="1"/>
          <w:w w:val="110"/>
          <w:sz w:val="22"/>
        </w:rPr>
        <w:t> </w:t>
      </w:r>
      <w:r>
        <w:rPr>
          <w:w w:val="110"/>
          <w:sz w:val="22"/>
        </w:rPr>
        <w:t>cartons.</w:t>
      </w:r>
    </w:p>
    <w:p>
      <w:pPr>
        <w:pStyle w:val="BodyText"/>
        <w:spacing w:before="117"/>
        <w:ind w:left="392"/>
      </w:pPr>
      <w:r>
        <w:rPr>
          <w:w w:val="110"/>
        </w:rPr>
        <w:t>Contact the NZQA helpline if you have not received these materials by 23 October 2019.</w:t>
      </w:r>
    </w:p>
    <w:p>
      <w:pPr>
        <w:spacing w:after="0"/>
        <w:sectPr>
          <w:footerReference w:type="default" r:id="rId12"/>
          <w:pgSz w:w="11910" w:h="16840"/>
          <w:pgMar w:footer="858" w:header="0" w:top="940" w:bottom="1040" w:left="740" w:right="580"/>
          <w:pgNumType w:start="10"/>
        </w:sectPr>
      </w:pPr>
    </w:p>
    <w:p>
      <w:pPr>
        <w:pStyle w:val="Heading1"/>
        <w:spacing w:before="63"/>
      </w:pPr>
      <w:bookmarkStart w:name="_TOC_250038" w:id="10"/>
      <w:bookmarkEnd w:id="10"/>
      <w:r>
        <w:rPr/>
        <w:t>DURING MARKING</w:t>
      </w:r>
    </w:p>
    <w:p>
      <w:pPr>
        <w:pStyle w:val="Heading3"/>
        <w:spacing w:before="242"/>
      </w:pPr>
      <w:bookmarkStart w:name="_TOC_250037" w:id="11"/>
      <w:bookmarkEnd w:id="11"/>
      <w:r>
        <w:rPr>
          <w:w w:val="115"/>
        </w:rPr>
        <w:t>Receiving portfolios</w:t>
      </w:r>
    </w:p>
    <w:p>
      <w:pPr>
        <w:pStyle w:val="BodyText"/>
        <w:spacing w:before="118"/>
        <w:ind w:left="392" w:right="769"/>
      </w:pPr>
      <w:r>
        <w:rPr>
          <w:w w:val="110"/>
        </w:rPr>
        <w:t>CourierPost will send you an email each time a single carton or bag of portfolios is sent to you. Each email will have a tracking number and a link to their online tracking service.</w:t>
      </w:r>
    </w:p>
    <w:p>
      <w:pPr>
        <w:pStyle w:val="BodyText"/>
        <w:spacing w:before="10"/>
        <w:rPr>
          <w:sz w:val="20"/>
        </w:rPr>
      </w:pPr>
    </w:p>
    <w:p>
      <w:pPr>
        <w:pStyle w:val="BodyText"/>
        <w:ind w:left="392" w:right="1078"/>
      </w:pPr>
      <w:r>
        <w:rPr>
          <w:w w:val="105"/>
        </w:rPr>
        <w:t>Call CourierPost at once if there are any courier problems. If there is a reoccurring  problem, call  the Marker</w:t>
      </w:r>
      <w:r>
        <w:rPr>
          <w:spacing w:val="7"/>
          <w:w w:val="105"/>
        </w:rPr>
        <w:t> </w:t>
      </w:r>
      <w:r>
        <w:rPr>
          <w:w w:val="105"/>
        </w:rPr>
        <w:t>Helpline.</w:t>
      </w:r>
    </w:p>
    <w:p>
      <w:pPr>
        <w:pStyle w:val="BodyText"/>
        <w:spacing w:before="10"/>
        <w:rPr>
          <w:sz w:val="20"/>
        </w:rPr>
      </w:pPr>
    </w:p>
    <w:p>
      <w:pPr>
        <w:pStyle w:val="BodyText"/>
        <w:ind w:left="392" w:right="580"/>
      </w:pPr>
      <w:r>
        <w:rPr>
          <w:w w:val="110"/>
        </w:rPr>
        <w:t>CourierPost</w:t>
      </w:r>
      <w:r>
        <w:rPr>
          <w:spacing w:val="-18"/>
          <w:w w:val="110"/>
        </w:rPr>
        <w:t> </w:t>
      </w:r>
      <w:r>
        <w:rPr>
          <w:w w:val="110"/>
        </w:rPr>
        <w:t>will</w:t>
      </w:r>
      <w:r>
        <w:rPr>
          <w:spacing w:val="-18"/>
          <w:w w:val="110"/>
        </w:rPr>
        <w:t> </w:t>
      </w:r>
      <w:r>
        <w:rPr>
          <w:w w:val="110"/>
        </w:rPr>
        <w:t>deliver</w:t>
      </w:r>
      <w:r>
        <w:rPr>
          <w:spacing w:val="-17"/>
          <w:w w:val="110"/>
        </w:rPr>
        <w:t> </w:t>
      </w:r>
      <w:r>
        <w:rPr>
          <w:w w:val="110"/>
        </w:rPr>
        <w:t>the</w:t>
      </w:r>
      <w:r>
        <w:rPr>
          <w:spacing w:val="-18"/>
          <w:w w:val="110"/>
        </w:rPr>
        <w:t> </w:t>
      </w:r>
      <w:r>
        <w:rPr>
          <w:w w:val="110"/>
        </w:rPr>
        <w:t>portfolios</w:t>
      </w:r>
      <w:r>
        <w:rPr>
          <w:spacing w:val="-18"/>
          <w:w w:val="110"/>
        </w:rPr>
        <w:t> </w:t>
      </w:r>
      <w:r>
        <w:rPr>
          <w:w w:val="110"/>
        </w:rPr>
        <w:t>during</w:t>
      </w:r>
      <w:r>
        <w:rPr>
          <w:spacing w:val="-17"/>
          <w:w w:val="110"/>
        </w:rPr>
        <w:t> </w:t>
      </w:r>
      <w:r>
        <w:rPr>
          <w:w w:val="110"/>
        </w:rPr>
        <w:t>6-14</w:t>
      </w:r>
      <w:r>
        <w:rPr>
          <w:spacing w:val="-21"/>
          <w:w w:val="110"/>
        </w:rPr>
        <w:t> </w:t>
      </w:r>
      <w:r>
        <w:rPr>
          <w:w w:val="110"/>
        </w:rPr>
        <w:t>November.</w:t>
      </w:r>
      <w:r>
        <w:rPr>
          <w:spacing w:val="-16"/>
          <w:w w:val="110"/>
        </w:rPr>
        <w:t> </w:t>
      </w:r>
      <w:r>
        <w:rPr>
          <w:w w:val="110"/>
        </w:rPr>
        <w:t>Most</w:t>
      </w:r>
      <w:r>
        <w:rPr>
          <w:spacing w:val="-15"/>
          <w:w w:val="110"/>
        </w:rPr>
        <w:t> </w:t>
      </w:r>
      <w:r>
        <w:rPr>
          <w:w w:val="110"/>
        </w:rPr>
        <w:t>will</w:t>
      </w:r>
      <w:r>
        <w:rPr>
          <w:spacing w:val="-20"/>
          <w:w w:val="110"/>
        </w:rPr>
        <w:t> </w:t>
      </w:r>
      <w:r>
        <w:rPr>
          <w:w w:val="110"/>
        </w:rPr>
        <w:t>arrive</w:t>
      </w:r>
      <w:r>
        <w:rPr>
          <w:spacing w:val="-18"/>
          <w:w w:val="110"/>
        </w:rPr>
        <w:t> </w:t>
      </w:r>
      <w:r>
        <w:rPr>
          <w:w w:val="110"/>
        </w:rPr>
        <w:t>in</w:t>
      </w:r>
      <w:r>
        <w:rPr>
          <w:spacing w:val="-18"/>
          <w:w w:val="110"/>
        </w:rPr>
        <w:t> </w:t>
      </w:r>
      <w:r>
        <w:rPr>
          <w:w w:val="110"/>
        </w:rPr>
        <w:t>cartons;</w:t>
      </w:r>
      <w:r>
        <w:rPr>
          <w:spacing w:val="-16"/>
          <w:w w:val="110"/>
        </w:rPr>
        <w:t> </w:t>
      </w:r>
      <w:r>
        <w:rPr>
          <w:w w:val="110"/>
        </w:rPr>
        <w:t>some</w:t>
      </w:r>
      <w:r>
        <w:rPr>
          <w:spacing w:val="-18"/>
          <w:w w:val="110"/>
        </w:rPr>
        <w:t> </w:t>
      </w:r>
      <w:r>
        <w:rPr>
          <w:w w:val="110"/>
        </w:rPr>
        <w:t>may be in orange courier bags. They are likely to arrive in several consignments. If a person is not available to sign for a consignment, CourierPost will not leave the portfolios but will leave instructions to arrange delivery. If unmarked portfolios are left without a signature, phone the Marker Helpline immediately on 0800 222</w:t>
      </w:r>
      <w:r>
        <w:rPr>
          <w:spacing w:val="-4"/>
          <w:w w:val="110"/>
        </w:rPr>
        <w:t> </w:t>
      </w:r>
      <w:r>
        <w:rPr>
          <w:w w:val="110"/>
        </w:rPr>
        <w:t>230.</w:t>
      </w:r>
    </w:p>
    <w:p>
      <w:pPr>
        <w:pStyle w:val="BodyText"/>
        <w:spacing w:before="10"/>
        <w:rPr>
          <w:sz w:val="20"/>
        </w:rPr>
      </w:pPr>
    </w:p>
    <w:p>
      <w:pPr>
        <w:pStyle w:val="BodyText"/>
        <w:ind w:left="392"/>
      </w:pPr>
      <w:r>
        <w:rPr>
          <w:w w:val="110"/>
        </w:rPr>
        <w:t>When you receive the cartons/bags:</w:t>
      </w:r>
    </w:p>
    <w:p>
      <w:pPr>
        <w:pStyle w:val="ListParagraph"/>
        <w:numPr>
          <w:ilvl w:val="0"/>
          <w:numId w:val="2"/>
        </w:numPr>
        <w:tabs>
          <w:tab w:pos="750" w:val="left" w:leader="none"/>
        </w:tabs>
        <w:spacing w:line="240" w:lineRule="auto" w:before="76" w:after="0"/>
        <w:ind w:left="750" w:right="549" w:hanging="358"/>
        <w:jc w:val="both"/>
        <w:rPr>
          <w:sz w:val="22"/>
        </w:rPr>
      </w:pPr>
      <w:r>
        <w:rPr>
          <w:w w:val="110"/>
          <w:sz w:val="22"/>
        </w:rPr>
        <w:t>Check the courier label. Your four-digit marker code must be displayed. If your marker code is not</w:t>
      </w:r>
      <w:r>
        <w:rPr>
          <w:spacing w:val="-10"/>
          <w:w w:val="110"/>
          <w:sz w:val="22"/>
        </w:rPr>
        <w:t> </w:t>
      </w:r>
      <w:r>
        <w:rPr>
          <w:w w:val="110"/>
          <w:sz w:val="22"/>
        </w:rPr>
        <w:t>on</w:t>
      </w:r>
      <w:r>
        <w:rPr>
          <w:spacing w:val="-12"/>
          <w:w w:val="110"/>
          <w:sz w:val="22"/>
        </w:rPr>
        <w:t> </w:t>
      </w:r>
      <w:r>
        <w:rPr>
          <w:w w:val="110"/>
          <w:sz w:val="22"/>
        </w:rPr>
        <w:t>the</w:t>
      </w:r>
      <w:r>
        <w:rPr>
          <w:spacing w:val="-10"/>
          <w:w w:val="110"/>
          <w:sz w:val="22"/>
        </w:rPr>
        <w:t> </w:t>
      </w:r>
      <w:r>
        <w:rPr>
          <w:w w:val="110"/>
          <w:sz w:val="22"/>
        </w:rPr>
        <w:t>label,</w:t>
      </w:r>
      <w:r>
        <w:rPr>
          <w:spacing w:val="-11"/>
          <w:w w:val="110"/>
          <w:sz w:val="22"/>
        </w:rPr>
        <w:t> </w:t>
      </w:r>
      <w:r>
        <w:rPr>
          <w:w w:val="110"/>
          <w:sz w:val="22"/>
        </w:rPr>
        <w:t>open</w:t>
      </w:r>
      <w:r>
        <w:rPr>
          <w:spacing w:val="-12"/>
          <w:w w:val="110"/>
          <w:sz w:val="22"/>
        </w:rPr>
        <w:t> </w:t>
      </w:r>
      <w:r>
        <w:rPr>
          <w:w w:val="110"/>
          <w:sz w:val="22"/>
        </w:rPr>
        <w:t>the</w:t>
      </w:r>
      <w:r>
        <w:rPr>
          <w:spacing w:val="-12"/>
          <w:w w:val="110"/>
          <w:sz w:val="22"/>
        </w:rPr>
        <w:t> </w:t>
      </w:r>
      <w:r>
        <w:rPr>
          <w:w w:val="110"/>
          <w:sz w:val="22"/>
        </w:rPr>
        <w:t>box</w:t>
      </w:r>
      <w:r>
        <w:rPr>
          <w:spacing w:val="-12"/>
          <w:w w:val="110"/>
          <w:sz w:val="22"/>
        </w:rPr>
        <w:t> </w:t>
      </w:r>
      <w:r>
        <w:rPr>
          <w:w w:val="110"/>
          <w:sz w:val="22"/>
        </w:rPr>
        <w:t>and</w:t>
      </w:r>
      <w:r>
        <w:rPr>
          <w:spacing w:val="-11"/>
          <w:w w:val="110"/>
          <w:sz w:val="22"/>
        </w:rPr>
        <w:t> </w:t>
      </w:r>
      <w:r>
        <w:rPr>
          <w:w w:val="110"/>
          <w:sz w:val="22"/>
        </w:rPr>
        <w:t>check</w:t>
      </w:r>
      <w:r>
        <w:rPr>
          <w:spacing w:val="-10"/>
          <w:w w:val="110"/>
          <w:sz w:val="22"/>
        </w:rPr>
        <w:t> </w:t>
      </w:r>
      <w:r>
        <w:rPr>
          <w:w w:val="110"/>
          <w:sz w:val="22"/>
        </w:rPr>
        <w:t>the</w:t>
      </w:r>
      <w:r>
        <w:rPr>
          <w:spacing w:val="-13"/>
          <w:w w:val="110"/>
          <w:sz w:val="22"/>
        </w:rPr>
        <w:t> </w:t>
      </w:r>
      <w:r>
        <w:rPr>
          <w:w w:val="110"/>
          <w:sz w:val="22"/>
        </w:rPr>
        <w:t>contents.</w:t>
      </w:r>
      <w:r>
        <w:rPr>
          <w:spacing w:val="-11"/>
          <w:w w:val="110"/>
          <w:sz w:val="22"/>
        </w:rPr>
        <w:t> </w:t>
      </w:r>
      <w:r>
        <w:rPr>
          <w:w w:val="110"/>
          <w:sz w:val="22"/>
        </w:rPr>
        <w:t>Phone</w:t>
      </w:r>
      <w:r>
        <w:rPr>
          <w:spacing w:val="-12"/>
          <w:w w:val="110"/>
          <w:sz w:val="22"/>
        </w:rPr>
        <w:t> </w:t>
      </w:r>
      <w:r>
        <w:rPr>
          <w:w w:val="110"/>
          <w:sz w:val="22"/>
        </w:rPr>
        <w:t>the</w:t>
      </w:r>
      <w:r>
        <w:rPr>
          <w:spacing w:val="-10"/>
          <w:w w:val="110"/>
          <w:sz w:val="22"/>
        </w:rPr>
        <w:t> </w:t>
      </w:r>
      <w:r>
        <w:rPr>
          <w:w w:val="110"/>
          <w:sz w:val="22"/>
        </w:rPr>
        <w:t>Marker</w:t>
      </w:r>
      <w:r>
        <w:rPr>
          <w:spacing w:val="-8"/>
          <w:w w:val="110"/>
          <w:sz w:val="22"/>
        </w:rPr>
        <w:t> </w:t>
      </w:r>
      <w:r>
        <w:rPr>
          <w:w w:val="110"/>
          <w:sz w:val="22"/>
        </w:rPr>
        <w:t>Helpline</w:t>
      </w:r>
      <w:r>
        <w:rPr>
          <w:spacing w:val="-12"/>
          <w:w w:val="110"/>
          <w:sz w:val="22"/>
        </w:rPr>
        <w:t> </w:t>
      </w:r>
      <w:r>
        <w:rPr>
          <w:w w:val="110"/>
          <w:sz w:val="22"/>
        </w:rPr>
        <w:t>if</w:t>
      </w:r>
      <w:r>
        <w:rPr>
          <w:spacing w:val="-9"/>
          <w:w w:val="110"/>
          <w:sz w:val="22"/>
        </w:rPr>
        <w:t> </w:t>
      </w:r>
      <w:r>
        <w:rPr>
          <w:w w:val="110"/>
          <w:sz w:val="22"/>
        </w:rPr>
        <w:t>the</w:t>
      </w:r>
      <w:r>
        <w:rPr>
          <w:spacing w:val="-9"/>
          <w:w w:val="110"/>
          <w:sz w:val="22"/>
        </w:rPr>
        <w:t> </w:t>
      </w:r>
      <w:r>
        <w:rPr>
          <w:w w:val="110"/>
          <w:sz w:val="22"/>
        </w:rPr>
        <w:t>portfolios are not for a standard you are</w:t>
      </w:r>
      <w:r>
        <w:rPr>
          <w:spacing w:val="-2"/>
          <w:w w:val="110"/>
          <w:sz w:val="22"/>
        </w:rPr>
        <w:t> </w:t>
      </w:r>
      <w:r>
        <w:rPr>
          <w:w w:val="110"/>
          <w:sz w:val="22"/>
        </w:rPr>
        <w:t>marking.</w:t>
      </w:r>
    </w:p>
    <w:p>
      <w:pPr>
        <w:pStyle w:val="ListParagraph"/>
        <w:numPr>
          <w:ilvl w:val="0"/>
          <w:numId w:val="2"/>
        </w:numPr>
        <w:tabs>
          <w:tab w:pos="749" w:val="left" w:leader="none"/>
          <w:tab w:pos="750" w:val="left" w:leader="none"/>
        </w:tabs>
        <w:spacing w:line="240" w:lineRule="auto" w:before="134" w:after="0"/>
        <w:ind w:left="750" w:right="697" w:hanging="358"/>
        <w:jc w:val="left"/>
        <w:rPr>
          <w:sz w:val="22"/>
        </w:rPr>
      </w:pPr>
      <w:r>
        <w:rPr>
          <w:w w:val="110"/>
          <w:sz w:val="22"/>
        </w:rPr>
        <w:t>Locate the Answer Booklet Control Sheets in the first carton of each consignment, and using the</w:t>
      </w:r>
      <w:r>
        <w:rPr>
          <w:spacing w:val="-13"/>
          <w:w w:val="110"/>
          <w:sz w:val="22"/>
        </w:rPr>
        <w:t> </w:t>
      </w:r>
      <w:r>
        <w:rPr>
          <w:w w:val="110"/>
          <w:sz w:val="22"/>
        </w:rPr>
        <w:t>candidate</w:t>
      </w:r>
      <w:r>
        <w:rPr>
          <w:spacing w:val="-12"/>
          <w:w w:val="110"/>
          <w:sz w:val="22"/>
        </w:rPr>
        <w:t> </w:t>
      </w:r>
      <w:r>
        <w:rPr>
          <w:w w:val="110"/>
          <w:sz w:val="22"/>
        </w:rPr>
        <w:t>NSN</w:t>
      </w:r>
      <w:r>
        <w:rPr>
          <w:spacing w:val="-14"/>
          <w:w w:val="110"/>
          <w:sz w:val="22"/>
        </w:rPr>
        <w:t> </w:t>
      </w:r>
      <w:r>
        <w:rPr>
          <w:w w:val="110"/>
          <w:sz w:val="22"/>
        </w:rPr>
        <w:t>to</w:t>
      </w:r>
      <w:r>
        <w:rPr>
          <w:spacing w:val="-10"/>
          <w:w w:val="110"/>
          <w:sz w:val="22"/>
        </w:rPr>
        <w:t> </w:t>
      </w:r>
      <w:r>
        <w:rPr>
          <w:w w:val="110"/>
          <w:sz w:val="22"/>
        </w:rPr>
        <w:t>identify</w:t>
      </w:r>
      <w:r>
        <w:rPr>
          <w:spacing w:val="-12"/>
          <w:w w:val="110"/>
          <w:sz w:val="22"/>
        </w:rPr>
        <w:t> </w:t>
      </w:r>
      <w:r>
        <w:rPr>
          <w:w w:val="110"/>
          <w:sz w:val="22"/>
        </w:rPr>
        <w:t>the</w:t>
      </w:r>
      <w:r>
        <w:rPr>
          <w:spacing w:val="-14"/>
          <w:w w:val="110"/>
          <w:sz w:val="22"/>
        </w:rPr>
        <w:t> </w:t>
      </w:r>
      <w:r>
        <w:rPr>
          <w:w w:val="110"/>
          <w:sz w:val="22"/>
        </w:rPr>
        <w:t>portfolio,</w:t>
      </w:r>
      <w:r>
        <w:rPr>
          <w:spacing w:val="-12"/>
          <w:w w:val="110"/>
          <w:sz w:val="22"/>
        </w:rPr>
        <w:t> </w:t>
      </w:r>
      <w:r>
        <w:rPr>
          <w:w w:val="110"/>
          <w:sz w:val="22"/>
        </w:rPr>
        <w:t>tick</w:t>
      </w:r>
      <w:r>
        <w:rPr>
          <w:spacing w:val="-13"/>
          <w:w w:val="110"/>
          <w:sz w:val="22"/>
        </w:rPr>
        <w:t> </w:t>
      </w:r>
      <w:r>
        <w:rPr>
          <w:w w:val="110"/>
          <w:sz w:val="22"/>
        </w:rPr>
        <w:t>the</w:t>
      </w:r>
      <w:r>
        <w:rPr>
          <w:spacing w:val="-13"/>
          <w:w w:val="110"/>
          <w:sz w:val="22"/>
        </w:rPr>
        <w:t> </w:t>
      </w:r>
      <w:r>
        <w:rPr>
          <w:w w:val="110"/>
          <w:sz w:val="22"/>
        </w:rPr>
        <w:t>received</w:t>
      </w:r>
      <w:r>
        <w:rPr>
          <w:spacing w:val="-12"/>
          <w:w w:val="110"/>
          <w:sz w:val="22"/>
        </w:rPr>
        <w:t> </w:t>
      </w:r>
      <w:r>
        <w:rPr>
          <w:w w:val="110"/>
          <w:sz w:val="22"/>
        </w:rPr>
        <w:t>column</w:t>
      </w:r>
      <w:r>
        <w:rPr>
          <w:spacing w:val="-16"/>
          <w:w w:val="110"/>
          <w:sz w:val="22"/>
        </w:rPr>
        <w:t> </w:t>
      </w:r>
      <w:r>
        <w:rPr>
          <w:w w:val="110"/>
          <w:sz w:val="22"/>
        </w:rPr>
        <w:t>for</w:t>
      </w:r>
      <w:r>
        <w:rPr>
          <w:spacing w:val="-14"/>
          <w:w w:val="110"/>
          <w:sz w:val="22"/>
        </w:rPr>
        <w:t> </w:t>
      </w:r>
      <w:r>
        <w:rPr>
          <w:w w:val="110"/>
          <w:sz w:val="22"/>
        </w:rPr>
        <w:t>received</w:t>
      </w:r>
      <w:r>
        <w:rPr>
          <w:spacing w:val="-13"/>
          <w:w w:val="110"/>
          <w:sz w:val="22"/>
        </w:rPr>
        <w:t> </w:t>
      </w:r>
      <w:r>
        <w:rPr>
          <w:w w:val="110"/>
          <w:sz w:val="22"/>
        </w:rPr>
        <w:t>portfolios</w:t>
      </w:r>
      <w:r>
        <w:rPr>
          <w:spacing w:val="-12"/>
          <w:w w:val="110"/>
          <w:sz w:val="22"/>
        </w:rPr>
        <w:t> </w:t>
      </w:r>
      <w:r>
        <w:rPr>
          <w:w w:val="110"/>
          <w:sz w:val="22"/>
        </w:rPr>
        <w:t>and enter Z for any portfolios not</w:t>
      </w:r>
      <w:r>
        <w:rPr>
          <w:spacing w:val="-7"/>
          <w:w w:val="110"/>
          <w:sz w:val="22"/>
        </w:rPr>
        <w:t> </w:t>
      </w:r>
      <w:r>
        <w:rPr>
          <w:w w:val="110"/>
          <w:sz w:val="22"/>
        </w:rPr>
        <w:t>received.</w:t>
      </w:r>
    </w:p>
    <w:p>
      <w:pPr>
        <w:pStyle w:val="ListParagraph"/>
        <w:numPr>
          <w:ilvl w:val="0"/>
          <w:numId w:val="2"/>
        </w:numPr>
        <w:tabs>
          <w:tab w:pos="749" w:val="left" w:leader="none"/>
          <w:tab w:pos="750" w:val="left" w:leader="none"/>
        </w:tabs>
        <w:spacing w:line="240" w:lineRule="auto" w:before="136" w:after="0"/>
        <w:ind w:left="750" w:right="842" w:hanging="358"/>
        <w:jc w:val="left"/>
        <w:rPr>
          <w:sz w:val="22"/>
        </w:rPr>
      </w:pPr>
      <w:r>
        <w:rPr>
          <w:w w:val="110"/>
          <w:sz w:val="22"/>
        </w:rPr>
        <w:t>As soon as you have checked receipt of all portfolios, enter the Z result on to your Marking Pages. You should no longer receive absent portfolios (Y) unless a school submits an empty assessment</w:t>
      </w:r>
      <w:r>
        <w:rPr>
          <w:spacing w:val="1"/>
          <w:w w:val="110"/>
          <w:sz w:val="22"/>
        </w:rPr>
        <w:t> </w:t>
      </w:r>
      <w:r>
        <w:rPr>
          <w:w w:val="110"/>
          <w:sz w:val="22"/>
        </w:rPr>
        <w:t>envelope.</w:t>
      </w:r>
    </w:p>
    <w:p>
      <w:pPr>
        <w:pStyle w:val="ListParagraph"/>
        <w:numPr>
          <w:ilvl w:val="0"/>
          <w:numId w:val="2"/>
        </w:numPr>
        <w:tabs>
          <w:tab w:pos="749" w:val="left" w:leader="none"/>
          <w:tab w:pos="750" w:val="left" w:leader="none"/>
        </w:tabs>
        <w:spacing w:line="240" w:lineRule="auto" w:before="134" w:after="0"/>
        <w:ind w:left="749" w:right="0" w:hanging="357"/>
        <w:jc w:val="left"/>
        <w:rPr>
          <w:sz w:val="22"/>
        </w:rPr>
      </w:pPr>
      <w:r>
        <w:rPr>
          <w:w w:val="110"/>
          <w:sz w:val="22"/>
        </w:rPr>
        <w:t>The Void (V) category no longer applies – as you will only be marking the one</w:t>
      </w:r>
      <w:r>
        <w:rPr>
          <w:spacing w:val="-23"/>
          <w:w w:val="110"/>
          <w:sz w:val="22"/>
        </w:rPr>
        <w:t> </w:t>
      </w:r>
      <w:r>
        <w:rPr>
          <w:w w:val="110"/>
          <w:sz w:val="22"/>
        </w:rPr>
        <w:t>standard.</w:t>
      </w:r>
    </w:p>
    <w:p>
      <w:pPr>
        <w:pStyle w:val="ListParagraph"/>
        <w:numPr>
          <w:ilvl w:val="0"/>
          <w:numId w:val="2"/>
        </w:numPr>
        <w:tabs>
          <w:tab w:pos="749" w:val="left" w:leader="none"/>
          <w:tab w:pos="750" w:val="left" w:leader="none"/>
        </w:tabs>
        <w:spacing w:line="240" w:lineRule="auto" w:before="136" w:after="0"/>
        <w:ind w:left="750" w:right="722" w:hanging="358"/>
        <w:jc w:val="left"/>
        <w:rPr>
          <w:sz w:val="22"/>
        </w:rPr>
      </w:pPr>
      <w:r>
        <w:rPr>
          <w:spacing w:val="2"/>
          <w:w w:val="110"/>
          <w:sz w:val="22"/>
        </w:rPr>
        <w:t>We </w:t>
      </w:r>
      <w:r>
        <w:rPr>
          <w:w w:val="110"/>
          <w:sz w:val="22"/>
        </w:rPr>
        <w:t>strongly recommend that you keep the portfolios in the same order as the Answer Booklet Control Sheets as they should appear in the same order as your Marking Pages for entering the</w:t>
      </w:r>
      <w:r>
        <w:rPr>
          <w:spacing w:val="-2"/>
          <w:w w:val="110"/>
          <w:sz w:val="22"/>
        </w:rPr>
        <w:t> </w:t>
      </w:r>
      <w:r>
        <w:rPr>
          <w:w w:val="110"/>
          <w:sz w:val="22"/>
        </w:rPr>
        <w:t>grades.</w:t>
      </w:r>
    </w:p>
    <w:p>
      <w:pPr>
        <w:pStyle w:val="BodyText"/>
        <w:spacing w:before="1"/>
        <w:rPr>
          <w:sz w:val="27"/>
        </w:rPr>
      </w:pPr>
    </w:p>
    <w:p>
      <w:pPr>
        <w:pStyle w:val="BodyText"/>
        <w:ind w:left="392"/>
      </w:pPr>
      <w:r>
        <w:rPr>
          <w:w w:val="115"/>
        </w:rPr>
        <w:t>What if:</w:t>
      </w:r>
    </w:p>
    <w:p>
      <w:pPr>
        <w:pStyle w:val="ListParagraph"/>
        <w:numPr>
          <w:ilvl w:val="0"/>
          <w:numId w:val="2"/>
        </w:numPr>
        <w:tabs>
          <w:tab w:pos="750" w:val="left" w:leader="none"/>
          <w:tab w:pos="751" w:val="left" w:leader="none"/>
        </w:tabs>
        <w:spacing w:line="240" w:lineRule="auto" w:before="76" w:after="0"/>
        <w:ind w:left="750" w:right="0" w:hanging="358"/>
        <w:jc w:val="left"/>
        <w:rPr>
          <w:sz w:val="22"/>
        </w:rPr>
      </w:pPr>
      <w:r>
        <w:rPr>
          <w:w w:val="120"/>
          <w:sz w:val="22"/>
        </w:rPr>
        <w:t>you receive an envelope with no</w:t>
      </w:r>
      <w:r>
        <w:rPr>
          <w:spacing w:val="-36"/>
          <w:w w:val="120"/>
          <w:sz w:val="22"/>
        </w:rPr>
        <w:t> </w:t>
      </w:r>
      <w:r>
        <w:rPr>
          <w:w w:val="120"/>
          <w:sz w:val="22"/>
        </w:rPr>
        <w:t>portfolio?</w:t>
      </w:r>
    </w:p>
    <w:p>
      <w:pPr>
        <w:pStyle w:val="BodyText"/>
        <w:spacing w:before="59"/>
        <w:ind w:left="750"/>
      </w:pPr>
      <w:r>
        <w:rPr>
          <w:w w:val="110"/>
        </w:rPr>
        <w:t>Treat this as an Absent portfolio – enter Y on both the ABCS and on your Marking Pages. The envelope can be returned to NZQA with the blank assessment envelopes.</w:t>
      </w:r>
    </w:p>
    <w:p>
      <w:pPr>
        <w:pStyle w:val="BodyText"/>
        <w:spacing w:before="2"/>
      </w:pPr>
    </w:p>
    <w:p>
      <w:pPr>
        <w:pStyle w:val="ListParagraph"/>
        <w:numPr>
          <w:ilvl w:val="0"/>
          <w:numId w:val="2"/>
        </w:numPr>
        <w:tabs>
          <w:tab w:pos="750" w:val="left" w:leader="none"/>
          <w:tab w:pos="751" w:val="left" w:leader="none"/>
        </w:tabs>
        <w:spacing w:line="240" w:lineRule="auto" w:before="0" w:after="0"/>
        <w:ind w:left="750" w:right="589" w:hanging="358"/>
        <w:jc w:val="left"/>
        <w:rPr>
          <w:sz w:val="22"/>
        </w:rPr>
      </w:pPr>
      <w:r>
        <w:rPr>
          <w:w w:val="120"/>
          <w:sz w:val="22"/>
        </w:rPr>
        <w:t>you</w:t>
      </w:r>
      <w:r>
        <w:rPr>
          <w:spacing w:val="-11"/>
          <w:w w:val="120"/>
          <w:sz w:val="22"/>
        </w:rPr>
        <w:t> </w:t>
      </w:r>
      <w:r>
        <w:rPr>
          <w:w w:val="120"/>
          <w:sz w:val="22"/>
        </w:rPr>
        <w:t>receive</w:t>
      </w:r>
      <w:r>
        <w:rPr>
          <w:spacing w:val="-11"/>
          <w:w w:val="120"/>
          <w:sz w:val="22"/>
        </w:rPr>
        <w:t> </w:t>
      </w:r>
      <w:r>
        <w:rPr>
          <w:w w:val="120"/>
          <w:sz w:val="22"/>
        </w:rPr>
        <w:t>a</w:t>
      </w:r>
      <w:r>
        <w:rPr>
          <w:spacing w:val="-11"/>
          <w:w w:val="120"/>
          <w:sz w:val="22"/>
        </w:rPr>
        <w:t> </w:t>
      </w:r>
      <w:r>
        <w:rPr>
          <w:w w:val="120"/>
          <w:sz w:val="22"/>
        </w:rPr>
        <w:t>portfolio</w:t>
      </w:r>
      <w:r>
        <w:rPr>
          <w:spacing w:val="-13"/>
          <w:w w:val="120"/>
          <w:sz w:val="22"/>
        </w:rPr>
        <w:t> </w:t>
      </w:r>
      <w:r>
        <w:rPr>
          <w:w w:val="120"/>
          <w:sz w:val="22"/>
        </w:rPr>
        <w:t>that</w:t>
      </w:r>
      <w:r>
        <w:rPr>
          <w:spacing w:val="-11"/>
          <w:w w:val="120"/>
          <w:sz w:val="22"/>
        </w:rPr>
        <w:t> </w:t>
      </w:r>
      <w:r>
        <w:rPr>
          <w:w w:val="120"/>
          <w:sz w:val="22"/>
        </w:rPr>
        <w:t>is</w:t>
      </w:r>
      <w:r>
        <w:rPr>
          <w:spacing w:val="-12"/>
          <w:w w:val="120"/>
          <w:sz w:val="22"/>
        </w:rPr>
        <w:t> </w:t>
      </w:r>
      <w:r>
        <w:rPr>
          <w:w w:val="120"/>
          <w:sz w:val="22"/>
        </w:rPr>
        <w:t>not</w:t>
      </w:r>
      <w:r>
        <w:rPr>
          <w:spacing w:val="-13"/>
          <w:w w:val="120"/>
          <w:sz w:val="22"/>
        </w:rPr>
        <w:t> </w:t>
      </w:r>
      <w:r>
        <w:rPr>
          <w:w w:val="120"/>
          <w:sz w:val="22"/>
        </w:rPr>
        <w:t>on</w:t>
      </w:r>
      <w:r>
        <w:rPr>
          <w:spacing w:val="-12"/>
          <w:w w:val="120"/>
          <w:sz w:val="22"/>
        </w:rPr>
        <w:t> </w:t>
      </w:r>
      <w:r>
        <w:rPr>
          <w:w w:val="120"/>
          <w:sz w:val="22"/>
        </w:rPr>
        <w:t>the</w:t>
      </w:r>
      <w:r>
        <w:rPr>
          <w:spacing w:val="-11"/>
          <w:w w:val="120"/>
          <w:sz w:val="22"/>
        </w:rPr>
        <w:t> </w:t>
      </w:r>
      <w:r>
        <w:rPr>
          <w:w w:val="120"/>
          <w:sz w:val="22"/>
        </w:rPr>
        <w:t>Answer</w:t>
      </w:r>
      <w:r>
        <w:rPr>
          <w:spacing w:val="-9"/>
          <w:w w:val="120"/>
          <w:sz w:val="22"/>
        </w:rPr>
        <w:t> </w:t>
      </w:r>
      <w:r>
        <w:rPr>
          <w:w w:val="120"/>
          <w:sz w:val="22"/>
        </w:rPr>
        <w:t>Booklet</w:t>
      </w:r>
      <w:r>
        <w:rPr>
          <w:spacing w:val="-10"/>
          <w:w w:val="120"/>
          <w:sz w:val="22"/>
        </w:rPr>
        <w:t> </w:t>
      </w:r>
      <w:r>
        <w:rPr>
          <w:w w:val="120"/>
          <w:sz w:val="22"/>
        </w:rPr>
        <w:t>Control</w:t>
      </w:r>
      <w:r>
        <w:rPr>
          <w:spacing w:val="-12"/>
          <w:w w:val="120"/>
          <w:sz w:val="22"/>
        </w:rPr>
        <w:t> </w:t>
      </w:r>
      <w:r>
        <w:rPr>
          <w:w w:val="120"/>
          <w:sz w:val="22"/>
        </w:rPr>
        <w:t>Sheet</w:t>
      </w:r>
      <w:r>
        <w:rPr>
          <w:spacing w:val="-10"/>
          <w:w w:val="120"/>
          <w:sz w:val="22"/>
        </w:rPr>
        <w:t> </w:t>
      </w:r>
      <w:r>
        <w:rPr>
          <w:w w:val="120"/>
          <w:sz w:val="22"/>
        </w:rPr>
        <w:t>or</w:t>
      </w:r>
      <w:r>
        <w:rPr>
          <w:spacing w:val="-12"/>
          <w:w w:val="120"/>
          <w:sz w:val="22"/>
        </w:rPr>
        <w:t> </w:t>
      </w:r>
      <w:r>
        <w:rPr>
          <w:w w:val="120"/>
          <w:sz w:val="22"/>
        </w:rPr>
        <w:t>is</w:t>
      </w:r>
      <w:r>
        <w:rPr>
          <w:spacing w:val="-15"/>
          <w:w w:val="120"/>
          <w:sz w:val="22"/>
        </w:rPr>
        <w:t> </w:t>
      </w:r>
      <w:r>
        <w:rPr>
          <w:w w:val="120"/>
          <w:sz w:val="22"/>
        </w:rPr>
        <w:t>handwritten on the Answer Booklet Control</w:t>
      </w:r>
      <w:r>
        <w:rPr>
          <w:spacing w:val="-33"/>
          <w:w w:val="120"/>
          <w:sz w:val="22"/>
        </w:rPr>
        <w:t> </w:t>
      </w:r>
      <w:r>
        <w:rPr>
          <w:w w:val="120"/>
          <w:sz w:val="22"/>
        </w:rPr>
        <w:t>Sheet?</w:t>
      </w:r>
    </w:p>
    <w:p>
      <w:pPr>
        <w:pStyle w:val="BodyText"/>
        <w:spacing w:before="60"/>
        <w:ind w:left="750" w:right="674"/>
      </w:pPr>
      <w:r>
        <w:rPr>
          <w:w w:val="110"/>
        </w:rPr>
        <w:t>Use the Marking Pages to search for the candidate, add to the Answer Booklet Control Sheet and reallocate to ‘yourself’. If the candidate doesn’t exist, record into a notebook and contact the Senior Business Liaison Officer on 0800 222 230, or </w:t>
      </w:r>
      <w:hyperlink r:id="rId7">
        <w:r>
          <w:rPr>
            <w:w w:val="110"/>
          </w:rPr>
          <w:t>examinations@nzqa.govt.nz, </w:t>
        </w:r>
      </w:hyperlink>
      <w:r>
        <w:rPr>
          <w:w w:val="110"/>
        </w:rPr>
        <w:t>as soon as you have finished checking all portfolios, they will initiate a Late Entry process. Once this has occurred, you will be able to mark the portfolio and enter the results.</w:t>
      </w:r>
    </w:p>
    <w:p>
      <w:pPr>
        <w:pStyle w:val="BodyText"/>
        <w:spacing w:before="1"/>
      </w:pPr>
    </w:p>
    <w:p>
      <w:pPr>
        <w:pStyle w:val="ListParagraph"/>
        <w:numPr>
          <w:ilvl w:val="0"/>
          <w:numId w:val="2"/>
        </w:numPr>
        <w:tabs>
          <w:tab w:pos="750" w:val="left" w:leader="none"/>
          <w:tab w:pos="751" w:val="left" w:leader="none"/>
        </w:tabs>
        <w:spacing w:line="240" w:lineRule="auto" w:before="1" w:after="0"/>
        <w:ind w:left="750" w:right="686" w:hanging="358"/>
        <w:jc w:val="left"/>
        <w:rPr>
          <w:sz w:val="22"/>
        </w:rPr>
      </w:pPr>
      <w:r>
        <w:rPr>
          <w:w w:val="120"/>
          <w:sz w:val="22"/>
        </w:rPr>
        <w:t>a candidate is listed on your Answer Booklet Control Sheet, but there is no assessment envelope for that</w:t>
      </w:r>
      <w:r>
        <w:rPr>
          <w:spacing w:val="-16"/>
          <w:w w:val="120"/>
          <w:sz w:val="22"/>
        </w:rPr>
        <w:t> </w:t>
      </w:r>
      <w:r>
        <w:rPr>
          <w:w w:val="120"/>
          <w:sz w:val="22"/>
        </w:rPr>
        <w:t>candidate?</w:t>
      </w:r>
    </w:p>
    <w:p>
      <w:pPr>
        <w:pStyle w:val="BodyText"/>
        <w:spacing w:before="60"/>
        <w:ind w:left="750" w:right="769"/>
      </w:pPr>
      <w:r>
        <w:rPr>
          <w:w w:val="105"/>
        </w:rPr>
        <w:t>Write Z on the Answer Booklet Control Sheet. Do not enter Z results online until the last day of marking, as it may turn up later.</w:t>
      </w:r>
    </w:p>
    <w:p>
      <w:pPr>
        <w:spacing w:after="0"/>
        <w:sectPr>
          <w:pgSz w:w="11910" w:h="16840"/>
          <w:pgMar w:header="0" w:footer="858" w:top="940" w:bottom="1060" w:left="740" w:right="580"/>
        </w:sectPr>
      </w:pPr>
    </w:p>
    <w:p>
      <w:pPr>
        <w:pStyle w:val="BodyText"/>
        <w:spacing w:before="62"/>
        <w:ind w:left="392"/>
      </w:pPr>
      <w:r>
        <w:rPr>
          <w:w w:val="105"/>
        </w:rPr>
        <w:t>If required, email the Senior Business Liaison Officer with the following</w:t>
      </w:r>
      <w:r>
        <w:rPr>
          <w:spacing w:val="56"/>
          <w:w w:val="105"/>
        </w:rPr>
        <w:t> </w:t>
      </w:r>
      <w:r>
        <w:rPr>
          <w:w w:val="105"/>
        </w:rPr>
        <w:t>information:</w:t>
      </w:r>
    </w:p>
    <w:p>
      <w:pPr>
        <w:pStyle w:val="ListParagraph"/>
        <w:numPr>
          <w:ilvl w:val="1"/>
          <w:numId w:val="2"/>
        </w:numPr>
        <w:tabs>
          <w:tab w:pos="1469" w:val="left" w:leader="none"/>
          <w:tab w:pos="1471" w:val="left" w:leader="none"/>
        </w:tabs>
        <w:spacing w:line="240" w:lineRule="auto" w:before="122" w:after="0"/>
        <w:ind w:left="1470" w:right="858" w:hanging="358"/>
        <w:jc w:val="left"/>
        <w:rPr>
          <w:sz w:val="22"/>
        </w:rPr>
      </w:pPr>
      <w:r>
        <w:rPr>
          <w:w w:val="115"/>
          <w:sz w:val="22"/>
        </w:rPr>
        <w:t>Assessment envelopes where the authenticity section does not have a student signature</w:t>
      </w:r>
      <w:r>
        <w:rPr>
          <w:spacing w:val="-13"/>
          <w:w w:val="115"/>
          <w:sz w:val="22"/>
        </w:rPr>
        <w:t> </w:t>
      </w:r>
      <w:r>
        <w:rPr>
          <w:w w:val="115"/>
          <w:sz w:val="22"/>
        </w:rPr>
        <w:t>(a</w:t>
      </w:r>
      <w:r>
        <w:rPr>
          <w:spacing w:val="-14"/>
          <w:w w:val="115"/>
          <w:sz w:val="22"/>
        </w:rPr>
        <w:t> </w:t>
      </w:r>
      <w:r>
        <w:rPr>
          <w:w w:val="115"/>
          <w:sz w:val="22"/>
        </w:rPr>
        <w:t>teacher</w:t>
      </w:r>
      <w:r>
        <w:rPr>
          <w:spacing w:val="-11"/>
          <w:w w:val="115"/>
          <w:sz w:val="22"/>
        </w:rPr>
        <w:t> </w:t>
      </w:r>
      <w:r>
        <w:rPr>
          <w:w w:val="115"/>
          <w:sz w:val="22"/>
        </w:rPr>
        <w:t>can</w:t>
      </w:r>
      <w:r>
        <w:rPr>
          <w:spacing w:val="-10"/>
          <w:w w:val="115"/>
          <w:sz w:val="22"/>
        </w:rPr>
        <w:t> </w:t>
      </w:r>
      <w:r>
        <w:rPr>
          <w:w w:val="115"/>
          <w:sz w:val="22"/>
        </w:rPr>
        <w:t>pp</w:t>
      </w:r>
      <w:r>
        <w:rPr>
          <w:spacing w:val="-11"/>
          <w:w w:val="115"/>
          <w:sz w:val="22"/>
        </w:rPr>
        <w:t> </w:t>
      </w:r>
      <w:r>
        <w:rPr>
          <w:w w:val="115"/>
          <w:sz w:val="22"/>
        </w:rPr>
        <w:t>sign</w:t>
      </w:r>
      <w:r>
        <w:rPr>
          <w:spacing w:val="-13"/>
          <w:w w:val="115"/>
          <w:sz w:val="22"/>
        </w:rPr>
        <w:t> </w:t>
      </w:r>
      <w:r>
        <w:rPr>
          <w:w w:val="115"/>
          <w:sz w:val="22"/>
        </w:rPr>
        <w:t>for</w:t>
      </w:r>
      <w:r>
        <w:rPr>
          <w:spacing w:val="-14"/>
          <w:w w:val="115"/>
          <w:sz w:val="22"/>
        </w:rPr>
        <w:t> </w:t>
      </w:r>
      <w:r>
        <w:rPr>
          <w:w w:val="115"/>
          <w:sz w:val="22"/>
        </w:rPr>
        <w:t>the</w:t>
      </w:r>
      <w:r>
        <w:rPr>
          <w:spacing w:val="-11"/>
          <w:w w:val="115"/>
          <w:sz w:val="22"/>
        </w:rPr>
        <w:t> </w:t>
      </w:r>
      <w:r>
        <w:rPr>
          <w:w w:val="115"/>
          <w:sz w:val="22"/>
        </w:rPr>
        <w:t>student).</w:t>
      </w:r>
      <w:r>
        <w:rPr>
          <w:spacing w:val="41"/>
          <w:w w:val="115"/>
          <w:sz w:val="22"/>
        </w:rPr>
        <w:t> </w:t>
      </w:r>
      <w:r>
        <w:rPr>
          <w:w w:val="115"/>
          <w:sz w:val="22"/>
        </w:rPr>
        <w:t>NOTE:</w:t>
      </w:r>
      <w:r>
        <w:rPr>
          <w:spacing w:val="-13"/>
          <w:w w:val="115"/>
          <w:sz w:val="22"/>
        </w:rPr>
        <w:t> </w:t>
      </w:r>
      <w:r>
        <w:rPr>
          <w:w w:val="115"/>
          <w:sz w:val="22"/>
        </w:rPr>
        <w:t>Teacher</w:t>
      </w:r>
      <w:r>
        <w:rPr>
          <w:spacing w:val="-11"/>
          <w:w w:val="115"/>
          <w:sz w:val="22"/>
        </w:rPr>
        <w:t> </w:t>
      </w:r>
      <w:r>
        <w:rPr>
          <w:w w:val="115"/>
          <w:sz w:val="22"/>
        </w:rPr>
        <w:t>signatures</w:t>
      </w:r>
      <w:r>
        <w:rPr>
          <w:spacing w:val="-8"/>
          <w:w w:val="115"/>
          <w:sz w:val="22"/>
        </w:rPr>
        <w:t> </w:t>
      </w:r>
      <w:r>
        <w:rPr>
          <w:w w:val="115"/>
          <w:sz w:val="22"/>
        </w:rPr>
        <w:t>are</w:t>
      </w:r>
      <w:r>
        <w:rPr>
          <w:spacing w:val="-11"/>
          <w:w w:val="115"/>
          <w:sz w:val="22"/>
        </w:rPr>
        <w:t> </w:t>
      </w:r>
      <w:r>
        <w:rPr>
          <w:w w:val="115"/>
          <w:sz w:val="22"/>
        </w:rPr>
        <w:t>no longer</w:t>
      </w:r>
      <w:r>
        <w:rPr>
          <w:spacing w:val="-3"/>
          <w:w w:val="115"/>
          <w:sz w:val="22"/>
        </w:rPr>
        <w:t> </w:t>
      </w:r>
      <w:r>
        <w:rPr>
          <w:w w:val="115"/>
          <w:sz w:val="22"/>
        </w:rPr>
        <w:t>required</w:t>
      </w:r>
    </w:p>
    <w:p>
      <w:pPr>
        <w:pStyle w:val="ListParagraph"/>
        <w:numPr>
          <w:ilvl w:val="1"/>
          <w:numId w:val="2"/>
        </w:numPr>
        <w:tabs>
          <w:tab w:pos="1469" w:val="left" w:leader="none"/>
          <w:tab w:pos="1471" w:val="left" w:leader="none"/>
        </w:tabs>
        <w:spacing w:line="240" w:lineRule="auto" w:before="119" w:after="0"/>
        <w:ind w:left="1470" w:right="0" w:hanging="358"/>
        <w:jc w:val="left"/>
        <w:rPr>
          <w:sz w:val="22"/>
        </w:rPr>
      </w:pPr>
      <w:r>
        <w:rPr>
          <w:w w:val="110"/>
          <w:sz w:val="22"/>
        </w:rPr>
        <w:t>Groups of missing portfolios or missing Answer Booklet Control</w:t>
      </w:r>
      <w:r>
        <w:rPr>
          <w:spacing w:val="-15"/>
          <w:w w:val="110"/>
          <w:sz w:val="22"/>
        </w:rPr>
        <w:t> </w:t>
      </w:r>
      <w:r>
        <w:rPr>
          <w:w w:val="110"/>
          <w:sz w:val="22"/>
        </w:rPr>
        <w:t>Sheets.</w:t>
      </w:r>
    </w:p>
    <w:p>
      <w:pPr>
        <w:pStyle w:val="ListParagraph"/>
        <w:numPr>
          <w:ilvl w:val="1"/>
          <w:numId w:val="2"/>
        </w:numPr>
        <w:tabs>
          <w:tab w:pos="1469" w:val="left" w:leader="none"/>
          <w:tab w:pos="1471" w:val="left" w:leader="none"/>
        </w:tabs>
        <w:spacing w:line="240" w:lineRule="auto" w:before="119" w:after="0"/>
        <w:ind w:left="1470" w:right="0" w:hanging="358"/>
        <w:jc w:val="left"/>
        <w:rPr>
          <w:sz w:val="22"/>
        </w:rPr>
      </w:pPr>
      <w:r>
        <w:rPr>
          <w:w w:val="110"/>
          <w:sz w:val="22"/>
        </w:rPr>
        <w:t>Cartons that are missing (after 14 November).</w:t>
      </w:r>
    </w:p>
    <w:p>
      <w:pPr>
        <w:pStyle w:val="BodyText"/>
      </w:pPr>
    </w:p>
    <w:p>
      <w:pPr>
        <w:pStyle w:val="BodyText"/>
        <w:spacing w:before="1"/>
        <w:ind w:left="392"/>
      </w:pPr>
      <w:r>
        <w:rPr>
          <w:w w:val="125"/>
        </w:rPr>
        <w:t>Chaser Packs</w:t>
      </w:r>
    </w:p>
    <w:p>
      <w:pPr>
        <w:pStyle w:val="BodyText"/>
        <w:spacing w:before="1"/>
        <w:ind w:left="392" w:right="769"/>
      </w:pPr>
      <w:r>
        <w:rPr>
          <w:w w:val="110"/>
        </w:rPr>
        <w:t>You may receive some portfolios after the bulk of your portfolios have arrived. These ‘chaser’ packs contain portfolios which may have come from rural delivery areas and were not part of the initial sorting process or are portfolios which were sent to the wrong marker and have been re- directed. This may include portfolios from overseas.</w:t>
      </w:r>
    </w:p>
    <w:p>
      <w:pPr>
        <w:pStyle w:val="BodyText"/>
      </w:pPr>
    </w:p>
    <w:p>
      <w:pPr>
        <w:pStyle w:val="BodyText"/>
        <w:spacing w:line="252" w:lineRule="exact"/>
        <w:ind w:left="392"/>
      </w:pPr>
      <w:r>
        <w:rPr>
          <w:w w:val="120"/>
        </w:rPr>
        <w:t>Overseas Portfolios</w:t>
      </w:r>
    </w:p>
    <w:p>
      <w:pPr>
        <w:pStyle w:val="BodyText"/>
        <w:spacing w:line="252" w:lineRule="exact"/>
        <w:ind w:left="392"/>
      </w:pPr>
      <w:r>
        <w:rPr>
          <w:w w:val="110"/>
        </w:rPr>
        <w:t>These may not arrive until marking is well underway.</w:t>
      </w:r>
    </w:p>
    <w:p>
      <w:pPr>
        <w:pStyle w:val="BodyText"/>
        <w:spacing w:before="6"/>
        <w:rPr>
          <w:sz w:val="31"/>
        </w:rPr>
      </w:pPr>
    </w:p>
    <w:p>
      <w:pPr>
        <w:pStyle w:val="Heading3"/>
      </w:pPr>
      <w:bookmarkStart w:name="_TOC_250036" w:id="12"/>
      <w:bookmarkEnd w:id="12"/>
      <w:r>
        <w:rPr>
          <w:w w:val="115"/>
        </w:rPr>
        <w:t>Identifying portfolios</w:t>
      </w:r>
    </w:p>
    <w:p>
      <w:pPr>
        <w:pStyle w:val="BodyText"/>
        <w:spacing w:before="118"/>
        <w:ind w:left="392" w:right="580"/>
      </w:pPr>
      <w:r>
        <w:rPr>
          <w:w w:val="110"/>
        </w:rPr>
        <w:t>All candidate assessment envelope will be personalised with a barcode. The example below shows the data contained in the barcode for a portfolio.</w:t>
      </w:r>
    </w:p>
    <w:p>
      <w:pPr>
        <w:pStyle w:val="BodyText"/>
        <w:rPr>
          <w:sz w:val="18"/>
        </w:rPr>
      </w:pPr>
      <w:r>
        <w:rPr/>
        <w:pict>
          <v:group style="position:absolute;margin-left:56.639999pt;margin-top:12.564892pt;width:481.95pt;height:182.2pt;mso-position-horizontal-relative:page;mso-position-vertical-relative:paragraph;z-index:-880;mso-wrap-distance-left:0;mso-wrap-distance-right:0" coordorigin="1133,251" coordsize="9639,3644">
            <v:line style="position:absolute" from="1133,256" to="10762,256" stroked="true" strokeweight=".480011pt" strokecolor="#000000">
              <v:stroke dashstyle="solid"/>
            </v:line>
            <v:line style="position:absolute" from="1138,261" to="1138,3894" stroked="true" strokeweight=".480005pt" strokecolor="#000000">
              <v:stroke dashstyle="solid"/>
            </v:line>
            <v:line style="position:absolute" from="1133,3890" to="10762,3890" stroked="true" strokeweight=".480011pt" strokecolor="#000000">
              <v:stroke dashstyle="solid"/>
            </v:line>
            <v:line style="position:absolute" from="10766,251" to="10766,3894" stroked="true" strokeweight=".480011pt" strokecolor="#000000">
              <v:stroke dashstyle="solid"/>
            </v:line>
            <v:shape style="position:absolute;left:1243;top:258;width:9524;height:3629" type="#_x0000_t75" stroked="false">
              <v:imagedata r:id="rId15" o:title=""/>
            </v:shape>
            <w10:wrap type="topAndBottom"/>
          </v:group>
        </w:pict>
      </w:r>
    </w:p>
    <w:p>
      <w:pPr>
        <w:pStyle w:val="BodyText"/>
        <w:spacing w:before="8"/>
        <w:rPr>
          <w:sz w:val="17"/>
        </w:rPr>
      </w:pPr>
    </w:p>
    <w:p>
      <w:pPr>
        <w:pStyle w:val="ListParagraph"/>
        <w:numPr>
          <w:ilvl w:val="0"/>
          <w:numId w:val="2"/>
        </w:numPr>
        <w:tabs>
          <w:tab w:pos="751" w:val="left" w:leader="none"/>
          <w:tab w:pos="752" w:val="left" w:leader="none"/>
        </w:tabs>
        <w:spacing w:line="240" w:lineRule="auto" w:before="92" w:after="0"/>
        <w:ind w:left="752" w:right="647" w:hanging="360"/>
        <w:jc w:val="left"/>
        <w:rPr>
          <w:sz w:val="22"/>
        </w:rPr>
      </w:pPr>
      <w:r>
        <w:rPr>
          <w:w w:val="110"/>
          <w:sz w:val="22"/>
        </w:rPr>
        <w:t>The Exam Centre Code is the number of the study provider where the candidate is entered for this</w:t>
      </w:r>
      <w:r>
        <w:rPr>
          <w:spacing w:val="-3"/>
          <w:w w:val="110"/>
          <w:sz w:val="22"/>
        </w:rPr>
        <w:t> </w:t>
      </w:r>
      <w:r>
        <w:rPr>
          <w:w w:val="110"/>
          <w:sz w:val="22"/>
        </w:rPr>
        <w:t>standard.</w:t>
      </w:r>
      <w:r>
        <w:rPr>
          <w:spacing w:val="-3"/>
          <w:w w:val="110"/>
          <w:sz w:val="22"/>
        </w:rPr>
        <w:t> </w:t>
      </w:r>
      <w:r>
        <w:rPr>
          <w:w w:val="110"/>
          <w:sz w:val="22"/>
        </w:rPr>
        <w:t>This</w:t>
      </w:r>
      <w:r>
        <w:rPr>
          <w:spacing w:val="-4"/>
          <w:w w:val="110"/>
          <w:sz w:val="22"/>
        </w:rPr>
        <w:t> </w:t>
      </w:r>
      <w:r>
        <w:rPr>
          <w:w w:val="110"/>
          <w:sz w:val="22"/>
        </w:rPr>
        <w:t>is</w:t>
      </w:r>
      <w:r>
        <w:rPr>
          <w:spacing w:val="-5"/>
          <w:w w:val="110"/>
          <w:sz w:val="22"/>
        </w:rPr>
        <w:t> </w:t>
      </w:r>
      <w:r>
        <w:rPr>
          <w:w w:val="110"/>
          <w:sz w:val="22"/>
        </w:rPr>
        <w:t>followed</w:t>
      </w:r>
      <w:r>
        <w:rPr>
          <w:spacing w:val="-3"/>
          <w:w w:val="110"/>
          <w:sz w:val="22"/>
        </w:rPr>
        <w:t> </w:t>
      </w:r>
      <w:r>
        <w:rPr>
          <w:w w:val="110"/>
          <w:sz w:val="22"/>
        </w:rPr>
        <w:t>by</w:t>
      </w:r>
      <w:r>
        <w:rPr>
          <w:spacing w:val="-4"/>
          <w:w w:val="110"/>
          <w:sz w:val="22"/>
        </w:rPr>
        <w:t> </w:t>
      </w:r>
      <w:r>
        <w:rPr>
          <w:w w:val="110"/>
          <w:sz w:val="22"/>
        </w:rPr>
        <w:t>an Exam</w:t>
      </w:r>
      <w:r>
        <w:rPr>
          <w:spacing w:val="-2"/>
          <w:w w:val="110"/>
          <w:sz w:val="22"/>
        </w:rPr>
        <w:t> </w:t>
      </w:r>
      <w:r>
        <w:rPr>
          <w:w w:val="110"/>
          <w:sz w:val="22"/>
        </w:rPr>
        <w:t>Code</w:t>
      </w:r>
      <w:r>
        <w:rPr>
          <w:spacing w:val="-3"/>
          <w:w w:val="110"/>
          <w:sz w:val="22"/>
        </w:rPr>
        <w:t> </w:t>
      </w:r>
      <w:r>
        <w:rPr>
          <w:w w:val="110"/>
          <w:sz w:val="22"/>
        </w:rPr>
        <w:t>for</w:t>
      </w:r>
      <w:r>
        <w:rPr>
          <w:spacing w:val="-2"/>
          <w:w w:val="110"/>
          <w:sz w:val="22"/>
        </w:rPr>
        <w:t> </w:t>
      </w:r>
      <w:r>
        <w:rPr>
          <w:w w:val="110"/>
          <w:sz w:val="22"/>
        </w:rPr>
        <w:t>a</w:t>
      </w:r>
      <w:r>
        <w:rPr>
          <w:spacing w:val="-2"/>
          <w:w w:val="110"/>
          <w:sz w:val="22"/>
        </w:rPr>
        <w:t> </w:t>
      </w:r>
      <w:r>
        <w:rPr>
          <w:w w:val="110"/>
          <w:sz w:val="22"/>
        </w:rPr>
        <w:t>specific</w:t>
      </w:r>
      <w:r>
        <w:rPr>
          <w:spacing w:val="-5"/>
          <w:w w:val="110"/>
          <w:sz w:val="22"/>
        </w:rPr>
        <w:t> </w:t>
      </w:r>
      <w:r>
        <w:rPr>
          <w:w w:val="110"/>
          <w:sz w:val="22"/>
        </w:rPr>
        <w:t>candidate</w:t>
      </w:r>
      <w:r>
        <w:rPr>
          <w:spacing w:val="-3"/>
          <w:w w:val="110"/>
          <w:sz w:val="22"/>
        </w:rPr>
        <w:t> </w:t>
      </w:r>
      <w:r>
        <w:rPr>
          <w:w w:val="110"/>
          <w:sz w:val="22"/>
        </w:rPr>
        <w:t>at</w:t>
      </w:r>
      <w:r>
        <w:rPr>
          <w:spacing w:val="-5"/>
          <w:w w:val="110"/>
          <w:sz w:val="22"/>
        </w:rPr>
        <w:t> </w:t>
      </w:r>
      <w:r>
        <w:rPr>
          <w:w w:val="110"/>
          <w:sz w:val="22"/>
        </w:rPr>
        <w:t>that</w:t>
      </w:r>
      <w:r>
        <w:rPr>
          <w:spacing w:val="-4"/>
          <w:w w:val="110"/>
          <w:sz w:val="22"/>
        </w:rPr>
        <w:t> </w:t>
      </w:r>
      <w:r>
        <w:rPr>
          <w:w w:val="110"/>
          <w:sz w:val="22"/>
        </w:rPr>
        <w:t>study</w:t>
      </w:r>
      <w:r>
        <w:rPr>
          <w:spacing w:val="-3"/>
          <w:w w:val="110"/>
          <w:sz w:val="22"/>
        </w:rPr>
        <w:t> </w:t>
      </w:r>
      <w:r>
        <w:rPr>
          <w:w w:val="110"/>
          <w:sz w:val="22"/>
        </w:rPr>
        <w:t>provider.</w:t>
      </w:r>
    </w:p>
    <w:p>
      <w:pPr>
        <w:pStyle w:val="ListParagraph"/>
        <w:numPr>
          <w:ilvl w:val="0"/>
          <w:numId w:val="2"/>
        </w:numPr>
        <w:tabs>
          <w:tab w:pos="751" w:val="left" w:leader="none"/>
          <w:tab w:pos="752" w:val="left" w:leader="none"/>
        </w:tabs>
        <w:spacing w:line="240" w:lineRule="auto" w:before="77" w:after="0"/>
        <w:ind w:left="751" w:right="0" w:hanging="359"/>
        <w:jc w:val="left"/>
        <w:rPr>
          <w:sz w:val="22"/>
        </w:rPr>
      </w:pPr>
      <w:r>
        <w:rPr>
          <w:w w:val="105"/>
          <w:sz w:val="22"/>
        </w:rPr>
        <w:t>Your Marker Code consists of four numbers and the letter</w:t>
      </w:r>
      <w:r>
        <w:rPr>
          <w:spacing w:val="55"/>
          <w:w w:val="105"/>
          <w:sz w:val="22"/>
        </w:rPr>
        <w:t> </w:t>
      </w:r>
      <w:r>
        <w:rPr>
          <w:w w:val="105"/>
          <w:sz w:val="22"/>
        </w:rPr>
        <w:t>A.</w:t>
      </w:r>
    </w:p>
    <w:p>
      <w:pPr>
        <w:pStyle w:val="ListParagraph"/>
        <w:numPr>
          <w:ilvl w:val="0"/>
          <w:numId w:val="2"/>
        </w:numPr>
        <w:tabs>
          <w:tab w:pos="751" w:val="left" w:leader="none"/>
          <w:tab w:pos="752" w:val="left" w:leader="none"/>
        </w:tabs>
        <w:spacing w:line="240" w:lineRule="auto" w:before="74" w:after="0"/>
        <w:ind w:left="751" w:right="0" w:hanging="359"/>
        <w:jc w:val="left"/>
        <w:rPr>
          <w:sz w:val="22"/>
        </w:rPr>
      </w:pPr>
      <w:r>
        <w:rPr>
          <w:w w:val="110"/>
          <w:sz w:val="22"/>
        </w:rPr>
        <w:t>The Candidate Sort Code assists with the sorting of portfolios back to the study</w:t>
      </w:r>
      <w:r>
        <w:rPr>
          <w:spacing w:val="-12"/>
          <w:w w:val="110"/>
          <w:sz w:val="22"/>
        </w:rPr>
        <w:t> </w:t>
      </w:r>
      <w:r>
        <w:rPr>
          <w:w w:val="110"/>
          <w:sz w:val="22"/>
        </w:rPr>
        <w:t>provider.</w:t>
      </w:r>
    </w:p>
    <w:p>
      <w:pPr>
        <w:pStyle w:val="ListParagraph"/>
        <w:numPr>
          <w:ilvl w:val="0"/>
          <w:numId w:val="2"/>
        </w:numPr>
        <w:tabs>
          <w:tab w:pos="751" w:val="left" w:leader="none"/>
          <w:tab w:pos="752" w:val="left" w:leader="none"/>
        </w:tabs>
        <w:spacing w:line="240" w:lineRule="auto" w:before="76" w:after="0"/>
        <w:ind w:left="751" w:right="0" w:hanging="359"/>
        <w:jc w:val="left"/>
        <w:rPr>
          <w:sz w:val="22"/>
        </w:rPr>
      </w:pPr>
      <w:r>
        <w:rPr>
          <w:w w:val="110"/>
          <w:sz w:val="22"/>
        </w:rPr>
        <w:t>The NSN (National Student Number) is the candidate’s unique identification</w:t>
      </w:r>
      <w:r>
        <w:rPr>
          <w:spacing w:val="-25"/>
          <w:w w:val="110"/>
          <w:sz w:val="22"/>
        </w:rPr>
        <w:t> </w:t>
      </w:r>
      <w:r>
        <w:rPr>
          <w:w w:val="110"/>
          <w:sz w:val="22"/>
        </w:rPr>
        <w:t>number.</w:t>
      </w:r>
    </w:p>
    <w:p>
      <w:pPr>
        <w:pStyle w:val="ListParagraph"/>
        <w:numPr>
          <w:ilvl w:val="0"/>
          <w:numId w:val="2"/>
        </w:numPr>
        <w:tabs>
          <w:tab w:pos="751" w:val="left" w:leader="none"/>
          <w:tab w:pos="752" w:val="left" w:leader="none"/>
        </w:tabs>
        <w:spacing w:line="240" w:lineRule="auto" w:before="73" w:after="0"/>
        <w:ind w:left="751" w:right="0" w:hanging="359"/>
        <w:jc w:val="left"/>
        <w:rPr>
          <w:sz w:val="22"/>
        </w:rPr>
      </w:pPr>
      <w:r>
        <w:rPr>
          <w:w w:val="110"/>
          <w:sz w:val="22"/>
        </w:rPr>
        <w:t>The Booklet Code indicates the achievement standard</w:t>
      </w:r>
      <w:r>
        <w:rPr>
          <w:spacing w:val="11"/>
          <w:w w:val="110"/>
          <w:sz w:val="22"/>
        </w:rPr>
        <w:t> </w:t>
      </w:r>
      <w:r>
        <w:rPr>
          <w:w w:val="110"/>
          <w:sz w:val="22"/>
        </w:rPr>
        <w:t>number.</w:t>
      </w:r>
    </w:p>
    <w:p>
      <w:pPr>
        <w:spacing w:after="0" w:line="240" w:lineRule="auto"/>
        <w:jc w:val="left"/>
        <w:rPr>
          <w:sz w:val="22"/>
        </w:rPr>
        <w:sectPr>
          <w:pgSz w:w="11910" w:h="16840"/>
          <w:pgMar w:header="0" w:footer="858" w:top="940" w:bottom="1060" w:left="740" w:right="580"/>
        </w:sectPr>
      </w:pPr>
    </w:p>
    <w:p>
      <w:pPr>
        <w:pStyle w:val="Heading3"/>
        <w:spacing w:before="63"/>
      </w:pPr>
      <w:bookmarkStart w:name="_TOC_250035" w:id="13"/>
      <w:bookmarkEnd w:id="13"/>
      <w:r>
        <w:rPr>
          <w:w w:val="120"/>
        </w:rPr>
        <w:t>Panel meeting</w:t>
      </w:r>
    </w:p>
    <w:p>
      <w:pPr>
        <w:pStyle w:val="BodyText"/>
        <w:spacing w:before="120"/>
        <w:ind w:left="392" w:right="1489"/>
      </w:pPr>
      <w:r>
        <w:rPr>
          <w:w w:val="105"/>
        </w:rPr>
        <w:t>All markers will attend the one-day panel meeting. The panel leader and senior marker will organise and run the panel meeting. The purpose of the panel meeting is to:</w:t>
      </w:r>
    </w:p>
    <w:p>
      <w:pPr>
        <w:pStyle w:val="ListParagraph"/>
        <w:numPr>
          <w:ilvl w:val="0"/>
          <w:numId w:val="2"/>
        </w:numPr>
        <w:tabs>
          <w:tab w:pos="749" w:val="left" w:leader="none"/>
          <w:tab w:pos="750" w:val="left" w:leader="none"/>
        </w:tabs>
        <w:spacing w:line="240" w:lineRule="auto" w:before="135" w:after="0"/>
        <w:ind w:left="749" w:right="0" w:hanging="357"/>
        <w:jc w:val="left"/>
        <w:rPr>
          <w:sz w:val="22"/>
        </w:rPr>
      </w:pPr>
      <w:r>
        <w:rPr>
          <w:w w:val="110"/>
          <w:sz w:val="22"/>
        </w:rPr>
        <w:t>ensure all markers have a clear understanding of the assessment</w:t>
      </w:r>
      <w:r>
        <w:rPr>
          <w:spacing w:val="43"/>
          <w:w w:val="110"/>
          <w:sz w:val="22"/>
        </w:rPr>
        <w:t> </w:t>
      </w:r>
      <w:r>
        <w:rPr>
          <w:w w:val="110"/>
          <w:sz w:val="22"/>
        </w:rPr>
        <w:t>schedule</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w w:val="110"/>
          <w:sz w:val="22"/>
        </w:rPr>
        <w:t>establish consistency in marking using benchmarking scripts provided by the panel</w:t>
      </w:r>
      <w:r>
        <w:rPr>
          <w:spacing w:val="10"/>
          <w:w w:val="110"/>
          <w:sz w:val="22"/>
        </w:rPr>
        <w:t> </w:t>
      </w:r>
      <w:r>
        <w:rPr>
          <w:w w:val="110"/>
          <w:sz w:val="22"/>
        </w:rPr>
        <w:t>leader</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w w:val="115"/>
          <w:sz w:val="22"/>
        </w:rPr>
        <w:t>achieve a consistent standard of assessment as specified in the assessment</w:t>
      </w:r>
      <w:r>
        <w:rPr>
          <w:spacing w:val="-28"/>
          <w:w w:val="115"/>
          <w:sz w:val="22"/>
        </w:rPr>
        <w:t> </w:t>
      </w:r>
      <w:r>
        <w:rPr>
          <w:w w:val="115"/>
          <w:sz w:val="22"/>
        </w:rPr>
        <w:t>schedule</w:t>
      </w:r>
    </w:p>
    <w:p>
      <w:pPr>
        <w:pStyle w:val="ListParagraph"/>
        <w:numPr>
          <w:ilvl w:val="0"/>
          <w:numId w:val="2"/>
        </w:numPr>
        <w:tabs>
          <w:tab w:pos="749" w:val="left" w:leader="none"/>
          <w:tab w:pos="750" w:val="left" w:leader="none"/>
        </w:tabs>
        <w:spacing w:line="240" w:lineRule="auto" w:before="73" w:after="0"/>
        <w:ind w:left="749" w:right="0" w:hanging="357"/>
        <w:jc w:val="left"/>
        <w:rPr>
          <w:sz w:val="22"/>
        </w:rPr>
      </w:pPr>
      <w:r>
        <w:rPr>
          <w:w w:val="110"/>
          <w:sz w:val="22"/>
        </w:rPr>
        <w:t>ensure all markers have a clear understanding of all administrative</w:t>
      </w:r>
      <w:r>
        <w:rPr>
          <w:spacing w:val="20"/>
          <w:w w:val="110"/>
          <w:sz w:val="22"/>
        </w:rPr>
        <w:t> </w:t>
      </w:r>
      <w:r>
        <w:rPr>
          <w:w w:val="110"/>
          <w:sz w:val="22"/>
        </w:rPr>
        <w:t>processes</w:t>
      </w:r>
    </w:p>
    <w:p>
      <w:pPr>
        <w:pStyle w:val="ListParagraph"/>
        <w:numPr>
          <w:ilvl w:val="0"/>
          <w:numId w:val="2"/>
        </w:numPr>
        <w:tabs>
          <w:tab w:pos="749" w:val="left" w:leader="none"/>
          <w:tab w:pos="750" w:val="left" w:leader="none"/>
        </w:tabs>
        <w:spacing w:line="240" w:lineRule="auto" w:before="76" w:after="0"/>
        <w:ind w:left="750" w:right="550" w:hanging="358"/>
        <w:jc w:val="left"/>
        <w:rPr>
          <w:sz w:val="22"/>
        </w:rPr>
      </w:pPr>
      <w:r>
        <w:rPr>
          <w:w w:val="115"/>
          <w:sz w:val="22"/>
        </w:rPr>
        <w:t>give you authority to start marking. You must not start marking before the panel leader has given you</w:t>
      </w:r>
      <w:r>
        <w:rPr>
          <w:spacing w:val="-1"/>
          <w:w w:val="115"/>
          <w:sz w:val="22"/>
        </w:rPr>
        <w:t> </w:t>
      </w:r>
      <w:r>
        <w:rPr>
          <w:w w:val="115"/>
          <w:sz w:val="22"/>
        </w:rPr>
        <w:t>permission.</w:t>
      </w:r>
    </w:p>
    <w:p>
      <w:pPr>
        <w:pStyle w:val="BodyText"/>
        <w:spacing w:before="11"/>
        <w:rPr>
          <w:sz w:val="21"/>
        </w:rPr>
      </w:pPr>
    </w:p>
    <w:p>
      <w:pPr>
        <w:pStyle w:val="BodyText"/>
        <w:spacing w:after="58"/>
        <w:ind w:left="392"/>
      </w:pPr>
      <w:r>
        <w:rPr>
          <w:w w:val="120"/>
        </w:rPr>
        <w:t>Panel Meeting Dates</w:t>
      </w:r>
    </w:p>
    <w:tbl>
      <w:tblPr>
        <w:tblW w:w="0" w:type="auto"/>
        <w:jc w:val="left"/>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2693"/>
        <w:gridCol w:w="2883"/>
        <w:gridCol w:w="2357"/>
      </w:tblGrid>
      <w:tr>
        <w:trPr>
          <w:trHeight w:val="333" w:hRule="atLeast"/>
        </w:trPr>
        <w:tc>
          <w:tcPr>
            <w:tcW w:w="1697" w:type="dxa"/>
            <w:shd w:val="clear" w:color="auto" w:fill="FFBF00"/>
          </w:tcPr>
          <w:p>
            <w:pPr>
              <w:pStyle w:val="TableParagraph"/>
              <w:spacing w:before="41"/>
              <w:ind w:left="205" w:right="195"/>
              <w:jc w:val="center"/>
              <w:rPr>
                <w:sz w:val="22"/>
              </w:rPr>
            </w:pPr>
            <w:r>
              <w:rPr>
                <w:w w:val="115"/>
                <w:sz w:val="22"/>
              </w:rPr>
              <w:t>Level</w:t>
            </w:r>
          </w:p>
        </w:tc>
        <w:tc>
          <w:tcPr>
            <w:tcW w:w="2693" w:type="dxa"/>
            <w:shd w:val="clear" w:color="auto" w:fill="FFBF00"/>
          </w:tcPr>
          <w:p>
            <w:pPr>
              <w:pStyle w:val="TableParagraph"/>
              <w:spacing w:before="41"/>
              <w:ind w:left="784" w:right="774"/>
              <w:jc w:val="center"/>
              <w:rPr>
                <w:sz w:val="22"/>
              </w:rPr>
            </w:pPr>
            <w:r>
              <w:rPr>
                <w:w w:val="125"/>
                <w:sz w:val="22"/>
              </w:rPr>
              <w:t>Standards</w:t>
            </w:r>
          </w:p>
        </w:tc>
        <w:tc>
          <w:tcPr>
            <w:tcW w:w="2883" w:type="dxa"/>
            <w:shd w:val="clear" w:color="auto" w:fill="FFBF00"/>
          </w:tcPr>
          <w:p>
            <w:pPr>
              <w:pStyle w:val="TableParagraph"/>
              <w:spacing w:before="41"/>
              <w:ind w:left="537"/>
              <w:rPr>
                <w:sz w:val="22"/>
              </w:rPr>
            </w:pPr>
            <w:r>
              <w:rPr>
                <w:w w:val="115"/>
                <w:sz w:val="22"/>
              </w:rPr>
              <w:t>Meeting Location</w:t>
            </w:r>
          </w:p>
        </w:tc>
        <w:tc>
          <w:tcPr>
            <w:tcW w:w="2357" w:type="dxa"/>
            <w:shd w:val="clear" w:color="auto" w:fill="FFBF00"/>
          </w:tcPr>
          <w:p>
            <w:pPr>
              <w:pStyle w:val="TableParagraph"/>
              <w:spacing w:before="41"/>
              <w:ind w:left="646" w:right="634"/>
              <w:jc w:val="center"/>
              <w:rPr>
                <w:sz w:val="22"/>
              </w:rPr>
            </w:pPr>
            <w:r>
              <w:rPr>
                <w:w w:val="125"/>
                <w:sz w:val="22"/>
              </w:rPr>
              <w:t>Dates</w:t>
            </w:r>
          </w:p>
        </w:tc>
      </w:tr>
      <w:tr>
        <w:trPr>
          <w:trHeight w:val="333" w:hRule="atLeast"/>
        </w:trPr>
        <w:tc>
          <w:tcPr>
            <w:tcW w:w="1697" w:type="dxa"/>
          </w:tcPr>
          <w:p>
            <w:pPr>
              <w:pStyle w:val="TableParagraph"/>
              <w:spacing w:before="41"/>
              <w:ind w:left="207" w:right="195"/>
              <w:jc w:val="center"/>
              <w:rPr>
                <w:sz w:val="22"/>
              </w:rPr>
            </w:pPr>
            <w:r>
              <w:rPr>
                <w:w w:val="105"/>
                <w:sz w:val="22"/>
              </w:rPr>
              <w:t>Level 1 DVC</w:t>
            </w:r>
          </w:p>
        </w:tc>
        <w:tc>
          <w:tcPr>
            <w:tcW w:w="2693" w:type="dxa"/>
          </w:tcPr>
          <w:p>
            <w:pPr>
              <w:pStyle w:val="TableParagraph"/>
              <w:spacing w:before="41"/>
              <w:ind w:left="781" w:right="774"/>
              <w:jc w:val="center"/>
              <w:rPr>
                <w:sz w:val="22"/>
              </w:rPr>
            </w:pPr>
            <w:r>
              <w:rPr>
                <w:w w:val="110"/>
                <w:sz w:val="22"/>
              </w:rPr>
              <w:t>91063</w:t>
            </w:r>
          </w:p>
        </w:tc>
        <w:tc>
          <w:tcPr>
            <w:tcW w:w="2883" w:type="dxa"/>
          </w:tcPr>
          <w:p>
            <w:pPr>
              <w:pStyle w:val="TableParagraph"/>
              <w:rPr>
                <w:sz w:val="22"/>
              </w:rPr>
            </w:pPr>
          </w:p>
        </w:tc>
        <w:tc>
          <w:tcPr>
            <w:tcW w:w="2357" w:type="dxa"/>
          </w:tcPr>
          <w:p>
            <w:pPr>
              <w:pStyle w:val="TableParagraph"/>
              <w:spacing w:before="41"/>
              <w:ind w:left="646" w:right="639"/>
              <w:jc w:val="center"/>
              <w:rPr>
                <w:sz w:val="22"/>
              </w:rPr>
            </w:pPr>
            <w:r>
              <w:rPr>
                <w:w w:val="110"/>
                <w:sz w:val="22"/>
              </w:rPr>
              <w:t>November</w:t>
            </w:r>
          </w:p>
        </w:tc>
      </w:tr>
      <w:tr>
        <w:trPr>
          <w:trHeight w:val="333" w:hRule="atLeast"/>
        </w:trPr>
        <w:tc>
          <w:tcPr>
            <w:tcW w:w="1697" w:type="dxa"/>
          </w:tcPr>
          <w:p>
            <w:pPr>
              <w:pStyle w:val="TableParagraph"/>
              <w:spacing w:before="41"/>
              <w:ind w:left="207" w:right="195"/>
              <w:jc w:val="center"/>
              <w:rPr>
                <w:sz w:val="22"/>
              </w:rPr>
            </w:pPr>
            <w:r>
              <w:rPr>
                <w:w w:val="105"/>
                <w:sz w:val="22"/>
              </w:rPr>
              <w:t>Level 1 DVC</w:t>
            </w:r>
          </w:p>
        </w:tc>
        <w:tc>
          <w:tcPr>
            <w:tcW w:w="2693" w:type="dxa"/>
          </w:tcPr>
          <w:p>
            <w:pPr>
              <w:pStyle w:val="TableParagraph"/>
              <w:spacing w:before="41"/>
              <w:ind w:left="781" w:right="774"/>
              <w:jc w:val="center"/>
              <w:rPr>
                <w:sz w:val="22"/>
              </w:rPr>
            </w:pPr>
            <w:r>
              <w:rPr>
                <w:w w:val="110"/>
                <w:sz w:val="22"/>
              </w:rPr>
              <w:t>91064</w:t>
            </w:r>
          </w:p>
        </w:tc>
        <w:tc>
          <w:tcPr>
            <w:tcW w:w="2883" w:type="dxa"/>
          </w:tcPr>
          <w:p>
            <w:pPr>
              <w:pStyle w:val="TableParagraph"/>
              <w:rPr>
                <w:sz w:val="22"/>
              </w:rPr>
            </w:pPr>
          </w:p>
        </w:tc>
        <w:tc>
          <w:tcPr>
            <w:tcW w:w="2357" w:type="dxa"/>
          </w:tcPr>
          <w:p>
            <w:pPr>
              <w:pStyle w:val="TableParagraph"/>
              <w:spacing w:before="41"/>
              <w:ind w:left="646" w:right="639"/>
              <w:jc w:val="center"/>
              <w:rPr>
                <w:sz w:val="22"/>
              </w:rPr>
            </w:pPr>
            <w:r>
              <w:rPr>
                <w:w w:val="110"/>
                <w:sz w:val="22"/>
              </w:rPr>
              <w:t>November</w:t>
            </w:r>
          </w:p>
        </w:tc>
      </w:tr>
      <w:tr>
        <w:trPr>
          <w:trHeight w:val="333" w:hRule="atLeast"/>
        </w:trPr>
        <w:tc>
          <w:tcPr>
            <w:tcW w:w="1697" w:type="dxa"/>
          </w:tcPr>
          <w:p>
            <w:pPr>
              <w:pStyle w:val="TableParagraph"/>
              <w:spacing w:before="41"/>
              <w:ind w:left="207" w:right="195"/>
              <w:jc w:val="center"/>
              <w:rPr>
                <w:sz w:val="22"/>
              </w:rPr>
            </w:pPr>
            <w:r>
              <w:rPr>
                <w:w w:val="105"/>
                <w:sz w:val="22"/>
              </w:rPr>
              <w:t>Level 1 DVC</w:t>
            </w:r>
          </w:p>
        </w:tc>
        <w:tc>
          <w:tcPr>
            <w:tcW w:w="2693" w:type="dxa"/>
          </w:tcPr>
          <w:p>
            <w:pPr>
              <w:pStyle w:val="TableParagraph"/>
              <w:spacing w:before="41"/>
              <w:ind w:left="781" w:right="774"/>
              <w:jc w:val="center"/>
              <w:rPr>
                <w:sz w:val="22"/>
              </w:rPr>
            </w:pPr>
            <w:r>
              <w:rPr>
                <w:w w:val="110"/>
                <w:sz w:val="22"/>
              </w:rPr>
              <w:t>91065</w:t>
            </w:r>
          </w:p>
        </w:tc>
        <w:tc>
          <w:tcPr>
            <w:tcW w:w="2883" w:type="dxa"/>
          </w:tcPr>
          <w:p>
            <w:pPr>
              <w:pStyle w:val="TableParagraph"/>
              <w:rPr>
                <w:sz w:val="22"/>
              </w:rPr>
            </w:pPr>
          </w:p>
        </w:tc>
        <w:tc>
          <w:tcPr>
            <w:tcW w:w="2357" w:type="dxa"/>
          </w:tcPr>
          <w:p>
            <w:pPr>
              <w:pStyle w:val="TableParagraph"/>
              <w:spacing w:before="41"/>
              <w:ind w:left="646" w:right="639"/>
              <w:jc w:val="center"/>
              <w:rPr>
                <w:sz w:val="22"/>
              </w:rPr>
            </w:pPr>
            <w:r>
              <w:rPr>
                <w:w w:val="110"/>
                <w:sz w:val="22"/>
              </w:rPr>
              <w:t>November</w:t>
            </w:r>
          </w:p>
        </w:tc>
      </w:tr>
      <w:tr>
        <w:trPr>
          <w:trHeight w:val="330" w:hRule="atLeast"/>
        </w:trPr>
        <w:tc>
          <w:tcPr>
            <w:tcW w:w="1697" w:type="dxa"/>
          </w:tcPr>
          <w:p>
            <w:pPr>
              <w:pStyle w:val="TableParagraph"/>
              <w:spacing w:before="41"/>
              <w:ind w:left="207" w:right="195"/>
              <w:jc w:val="center"/>
              <w:rPr>
                <w:sz w:val="22"/>
              </w:rPr>
            </w:pPr>
            <w:r>
              <w:rPr>
                <w:w w:val="105"/>
                <w:sz w:val="22"/>
              </w:rPr>
              <w:t>Level 2 DVC</w:t>
            </w:r>
          </w:p>
        </w:tc>
        <w:tc>
          <w:tcPr>
            <w:tcW w:w="2693" w:type="dxa"/>
          </w:tcPr>
          <w:p>
            <w:pPr>
              <w:pStyle w:val="TableParagraph"/>
              <w:spacing w:before="41"/>
              <w:ind w:left="781" w:right="774"/>
              <w:jc w:val="center"/>
              <w:rPr>
                <w:sz w:val="22"/>
              </w:rPr>
            </w:pPr>
            <w:r>
              <w:rPr>
                <w:w w:val="110"/>
                <w:sz w:val="22"/>
              </w:rPr>
              <w:t>91337</w:t>
            </w:r>
          </w:p>
        </w:tc>
        <w:tc>
          <w:tcPr>
            <w:tcW w:w="2883" w:type="dxa"/>
          </w:tcPr>
          <w:p>
            <w:pPr>
              <w:pStyle w:val="TableParagraph"/>
              <w:rPr>
                <w:sz w:val="22"/>
              </w:rPr>
            </w:pPr>
          </w:p>
        </w:tc>
        <w:tc>
          <w:tcPr>
            <w:tcW w:w="2357" w:type="dxa"/>
          </w:tcPr>
          <w:p>
            <w:pPr>
              <w:pStyle w:val="TableParagraph"/>
              <w:spacing w:before="41"/>
              <w:ind w:left="646" w:right="639"/>
              <w:jc w:val="center"/>
              <w:rPr>
                <w:sz w:val="22"/>
              </w:rPr>
            </w:pPr>
            <w:r>
              <w:rPr>
                <w:w w:val="110"/>
                <w:sz w:val="22"/>
              </w:rPr>
              <w:t>November</w:t>
            </w:r>
          </w:p>
        </w:tc>
      </w:tr>
      <w:tr>
        <w:trPr>
          <w:trHeight w:val="333" w:hRule="atLeast"/>
        </w:trPr>
        <w:tc>
          <w:tcPr>
            <w:tcW w:w="1697" w:type="dxa"/>
          </w:tcPr>
          <w:p>
            <w:pPr>
              <w:pStyle w:val="TableParagraph"/>
              <w:spacing w:before="44"/>
              <w:ind w:left="207" w:right="195"/>
              <w:jc w:val="center"/>
              <w:rPr>
                <w:sz w:val="22"/>
              </w:rPr>
            </w:pPr>
            <w:r>
              <w:rPr>
                <w:w w:val="105"/>
                <w:sz w:val="22"/>
              </w:rPr>
              <w:t>Level 2 DVC</w:t>
            </w:r>
          </w:p>
        </w:tc>
        <w:tc>
          <w:tcPr>
            <w:tcW w:w="2693" w:type="dxa"/>
          </w:tcPr>
          <w:p>
            <w:pPr>
              <w:pStyle w:val="TableParagraph"/>
              <w:spacing w:before="44"/>
              <w:ind w:left="781" w:right="774"/>
              <w:jc w:val="center"/>
              <w:rPr>
                <w:sz w:val="22"/>
              </w:rPr>
            </w:pPr>
            <w:r>
              <w:rPr>
                <w:w w:val="110"/>
                <w:sz w:val="22"/>
              </w:rPr>
              <w:t>91338</w:t>
            </w:r>
          </w:p>
        </w:tc>
        <w:tc>
          <w:tcPr>
            <w:tcW w:w="2883" w:type="dxa"/>
          </w:tcPr>
          <w:p>
            <w:pPr>
              <w:pStyle w:val="TableParagraph"/>
              <w:rPr>
                <w:sz w:val="22"/>
              </w:rPr>
            </w:pPr>
          </w:p>
        </w:tc>
        <w:tc>
          <w:tcPr>
            <w:tcW w:w="2357" w:type="dxa"/>
          </w:tcPr>
          <w:p>
            <w:pPr>
              <w:pStyle w:val="TableParagraph"/>
              <w:spacing w:before="44"/>
              <w:ind w:left="646" w:right="639"/>
              <w:jc w:val="center"/>
              <w:rPr>
                <w:sz w:val="22"/>
              </w:rPr>
            </w:pPr>
            <w:r>
              <w:rPr>
                <w:w w:val="110"/>
                <w:sz w:val="22"/>
              </w:rPr>
              <w:t>November</w:t>
            </w:r>
          </w:p>
        </w:tc>
      </w:tr>
      <w:tr>
        <w:trPr>
          <w:trHeight w:val="333" w:hRule="atLeast"/>
        </w:trPr>
        <w:tc>
          <w:tcPr>
            <w:tcW w:w="1697" w:type="dxa"/>
          </w:tcPr>
          <w:p>
            <w:pPr>
              <w:pStyle w:val="TableParagraph"/>
              <w:spacing w:before="44"/>
              <w:ind w:left="207" w:right="195"/>
              <w:jc w:val="center"/>
              <w:rPr>
                <w:sz w:val="22"/>
              </w:rPr>
            </w:pPr>
            <w:r>
              <w:rPr>
                <w:w w:val="105"/>
                <w:sz w:val="22"/>
              </w:rPr>
              <w:t>Level 2 DVC</w:t>
            </w:r>
          </w:p>
        </w:tc>
        <w:tc>
          <w:tcPr>
            <w:tcW w:w="2693" w:type="dxa"/>
          </w:tcPr>
          <w:p>
            <w:pPr>
              <w:pStyle w:val="TableParagraph"/>
              <w:spacing w:before="44"/>
              <w:ind w:left="781" w:right="774"/>
              <w:jc w:val="center"/>
              <w:rPr>
                <w:sz w:val="22"/>
              </w:rPr>
            </w:pPr>
            <w:r>
              <w:rPr>
                <w:w w:val="110"/>
                <w:sz w:val="22"/>
              </w:rPr>
              <w:t>91339</w:t>
            </w:r>
          </w:p>
        </w:tc>
        <w:tc>
          <w:tcPr>
            <w:tcW w:w="2883" w:type="dxa"/>
          </w:tcPr>
          <w:p>
            <w:pPr>
              <w:pStyle w:val="TableParagraph"/>
              <w:rPr>
                <w:sz w:val="22"/>
              </w:rPr>
            </w:pPr>
          </w:p>
        </w:tc>
        <w:tc>
          <w:tcPr>
            <w:tcW w:w="2357" w:type="dxa"/>
          </w:tcPr>
          <w:p>
            <w:pPr>
              <w:pStyle w:val="TableParagraph"/>
              <w:spacing w:before="44"/>
              <w:ind w:left="646" w:right="639"/>
              <w:jc w:val="center"/>
              <w:rPr>
                <w:sz w:val="22"/>
              </w:rPr>
            </w:pPr>
            <w:r>
              <w:rPr>
                <w:w w:val="110"/>
                <w:sz w:val="22"/>
              </w:rPr>
              <w:t>November</w:t>
            </w:r>
          </w:p>
        </w:tc>
      </w:tr>
      <w:tr>
        <w:trPr>
          <w:trHeight w:val="333" w:hRule="atLeast"/>
        </w:trPr>
        <w:tc>
          <w:tcPr>
            <w:tcW w:w="1697" w:type="dxa"/>
          </w:tcPr>
          <w:p>
            <w:pPr>
              <w:pStyle w:val="TableParagraph"/>
              <w:spacing w:before="41"/>
              <w:ind w:left="207" w:right="195"/>
              <w:jc w:val="center"/>
              <w:rPr>
                <w:sz w:val="22"/>
              </w:rPr>
            </w:pPr>
            <w:r>
              <w:rPr>
                <w:w w:val="105"/>
                <w:sz w:val="22"/>
              </w:rPr>
              <w:t>Level 3 DVC</w:t>
            </w:r>
          </w:p>
        </w:tc>
        <w:tc>
          <w:tcPr>
            <w:tcW w:w="2693" w:type="dxa"/>
          </w:tcPr>
          <w:p>
            <w:pPr>
              <w:pStyle w:val="TableParagraph"/>
              <w:spacing w:before="41"/>
              <w:ind w:left="781" w:right="774"/>
              <w:jc w:val="center"/>
              <w:rPr>
                <w:sz w:val="22"/>
              </w:rPr>
            </w:pPr>
            <w:r>
              <w:rPr>
                <w:w w:val="110"/>
                <w:sz w:val="22"/>
              </w:rPr>
              <w:t>91627</w:t>
            </w:r>
          </w:p>
        </w:tc>
        <w:tc>
          <w:tcPr>
            <w:tcW w:w="2883" w:type="dxa"/>
          </w:tcPr>
          <w:p>
            <w:pPr>
              <w:pStyle w:val="TableParagraph"/>
              <w:rPr>
                <w:sz w:val="22"/>
              </w:rPr>
            </w:pPr>
          </w:p>
        </w:tc>
        <w:tc>
          <w:tcPr>
            <w:tcW w:w="2357" w:type="dxa"/>
          </w:tcPr>
          <w:p>
            <w:pPr>
              <w:pStyle w:val="TableParagraph"/>
              <w:spacing w:before="41"/>
              <w:ind w:left="646" w:right="639"/>
              <w:jc w:val="center"/>
              <w:rPr>
                <w:sz w:val="22"/>
              </w:rPr>
            </w:pPr>
            <w:r>
              <w:rPr>
                <w:w w:val="110"/>
                <w:sz w:val="22"/>
              </w:rPr>
              <w:t>November</w:t>
            </w:r>
          </w:p>
        </w:tc>
      </w:tr>
      <w:tr>
        <w:trPr>
          <w:trHeight w:val="333" w:hRule="atLeast"/>
        </w:trPr>
        <w:tc>
          <w:tcPr>
            <w:tcW w:w="1697" w:type="dxa"/>
          </w:tcPr>
          <w:p>
            <w:pPr>
              <w:pStyle w:val="TableParagraph"/>
              <w:spacing w:before="41"/>
              <w:ind w:left="207" w:right="195"/>
              <w:jc w:val="center"/>
              <w:rPr>
                <w:sz w:val="22"/>
              </w:rPr>
            </w:pPr>
            <w:r>
              <w:rPr>
                <w:w w:val="105"/>
                <w:sz w:val="22"/>
              </w:rPr>
              <w:t>Level 3 DVC</w:t>
            </w:r>
          </w:p>
        </w:tc>
        <w:tc>
          <w:tcPr>
            <w:tcW w:w="2693" w:type="dxa"/>
          </w:tcPr>
          <w:p>
            <w:pPr>
              <w:pStyle w:val="TableParagraph"/>
              <w:spacing w:before="41"/>
              <w:ind w:left="781" w:right="774"/>
              <w:jc w:val="center"/>
              <w:rPr>
                <w:sz w:val="22"/>
              </w:rPr>
            </w:pPr>
            <w:r>
              <w:rPr>
                <w:w w:val="110"/>
                <w:sz w:val="22"/>
              </w:rPr>
              <w:t>91631</w:t>
            </w:r>
          </w:p>
        </w:tc>
        <w:tc>
          <w:tcPr>
            <w:tcW w:w="2883" w:type="dxa"/>
          </w:tcPr>
          <w:p>
            <w:pPr>
              <w:pStyle w:val="TableParagraph"/>
              <w:rPr>
                <w:sz w:val="22"/>
              </w:rPr>
            </w:pPr>
          </w:p>
        </w:tc>
        <w:tc>
          <w:tcPr>
            <w:tcW w:w="2357" w:type="dxa"/>
          </w:tcPr>
          <w:p>
            <w:pPr>
              <w:pStyle w:val="TableParagraph"/>
              <w:spacing w:before="41"/>
              <w:ind w:left="646" w:right="639"/>
              <w:jc w:val="center"/>
              <w:rPr>
                <w:sz w:val="22"/>
              </w:rPr>
            </w:pPr>
            <w:r>
              <w:rPr>
                <w:w w:val="110"/>
                <w:sz w:val="22"/>
              </w:rPr>
              <w:t>November</w:t>
            </w:r>
          </w:p>
        </w:tc>
      </w:tr>
    </w:tbl>
    <w:p>
      <w:pPr>
        <w:pStyle w:val="BodyText"/>
        <w:spacing w:before="2"/>
      </w:pPr>
    </w:p>
    <w:p>
      <w:pPr>
        <w:pStyle w:val="BodyText"/>
        <w:ind w:left="392"/>
      </w:pPr>
      <w:r>
        <w:rPr>
          <w:w w:val="120"/>
        </w:rPr>
        <w:t>Materials</w:t>
      </w:r>
      <w:r>
        <w:rPr>
          <w:spacing w:val="-20"/>
          <w:w w:val="120"/>
        </w:rPr>
        <w:t> </w:t>
      </w:r>
      <w:r>
        <w:rPr>
          <w:w w:val="120"/>
        </w:rPr>
        <w:t>available</w:t>
      </w:r>
      <w:r>
        <w:rPr>
          <w:spacing w:val="-18"/>
          <w:w w:val="120"/>
        </w:rPr>
        <w:t> </w:t>
      </w:r>
      <w:r>
        <w:rPr>
          <w:w w:val="120"/>
        </w:rPr>
        <w:t>at</w:t>
      </w:r>
      <w:r>
        <w:rPr>
          <w:spacing w:val="-20"/>
          <w:w w:val="120"/>
        </w:rPr>
        <w:t> </w:t>
      </w:r>
      <w:r>
        <w:rPr>
          <w:w w:val="120"/>
        </w:rPr>
        <w:t>the</w:t>
      </w:r>
      <w:r>
        <w:rPr>
          <w:spacing w:val="-20"/>
          <w:w w:val="120"/>
        </w:rPr>
        <w:t> </w:t>
      </w:r>
      <w:r>
        <w:rPr>
          <w:w w:val="120"/>
        </w:rPr>
        <w:t>panel</w:t>
      </w:r>
      <w:r>
        <w:rPr>
          <w:spacing w:val="-19"/>
          <w:w w:val="120"/>
        </w:rPr>
        <w:t> </w:t>
      </w:r>
      <w:r>
        <w:rPr>
          <w:w w:val="120"/>
        </w:rPr>
        <w:t>meeting:</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w w:val="115"/>
          <w:sz w:val="22"/>
        </w:rPr>
        <w:t>practice assessment</w:t>
      </w:r>
      <w:r>
        <w:rPr>
          <w:spacing w:val="-3"/>
          <w:w w:val="115"/>
          <w:sz w:val="22"/>
        </w:rPr>
        <w:t> </w:t>
      </w:r>
      <w:r>
        <w:rPr>
          <w:w w:val="115"/>
          <w:sz w:val="22"/>
        </w:rPr>
        <w:t>envelopes</w:t>
      </w:r>
    </w:p>
    <w:p>
      <w:pPr>
        <w:pStyle w:val="ListParagraph"/>
        <w:numPr>
          <w:ilvl w:val="0"/>
          <w:numId w:val="2"/>
        </w:numPr>
        <w:tabs>
          <w:tab w:pos="749" w:val="left" w:leader="none"/>
          <w:tab w:pos="750" w:val="left" w:leader="none"/>
        </w:tabs>
        <w:spacing w:line="240" w:lineRule="auto" w:before="133" w:after="0"/>
        <w:ind w:left="749" w:right="0" w:hanging="357"/>
        <w:jc w:val="left"/>
        <w:rPr>
          <w:sz w:val="22"/>
        </w:rPr>
      </w:pPr>
      <w:r>
        <w:rPr>
          <w:w w:val="110"/>
          <w:sz w:val="22"/>
        </w:rPr>
        <w:t>bench mark</w:t>
      </w:r>
      <w:r>
        <w:rPr>
          <w:spacing w:val="4"/>
          <w:w w:val="110"/>
          <w:sz w:val="22"/>
        </w:rPr>
        <w:t> </w:t>
      </w:r>
      <w:r>
        <w:rPr>
          <w:w w:val="110"/>
          <w:sz w:val="22"/>
        </w:rPr>
        <w:t>materials</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w w:val="110"/>
          <w:sz w:val="22"/>
        </w:rPr>
        <w:t>these Guide Notes and</w:t>
      </w:r>
      <w:r>
        <w:rPr>
          <w:spacing w:val="2"/>
          <w:w w:val="110"/>
          <w:sz w:val="22"/>
        </w:rPr>
        <w:t> </w:t>
      </w:r>
      <w:r>
        <w:rPr>
          <w:w w:val="110"/>
          <w:sz w:val="22"/>
        </w:rPr>
        <w:t>Instructions.</w:t>
      </w:r>
    </w:p>
    <w:p>
      <w:pPr>
        <w:pStyle w:val="BodyText"/>
        <w:spacing w:before="9"/>
        <w:rPr>
          <w:sz w:val="20"/>
        </w:rPr>
      </w:pPr>
    </w:p>
    <w:p>
      <w:pPr>
        <w:pStyle w:val="BodyText"/>
        <w:ind w:left="392"/>
      </w:pPr>
      <w:r>
        <w:rPr>
          <w:w w:val="120"/>
        </w:rPr>
        <w:t>Materials to bring the Panel Meeting:</w:t>
      </w:r>
    </w:p>
    <w:p>
      <w:pPr>
        <w:pStyle w:val="ListParagraph"/>
        <w:numPr>
          <w:ilvl w:val="0"/>
          <w:numId w:val="2"/>
        </w:numPr>
        <w:tabs>
          <w:tab w:pos="749" w:val="left" w:leader="none"/>
          <w:tab w:pos="750" w:val="left" w:leader="none"/>
        </w:tabs>
        <w:spacing w:line="240" w:lineRule="auto" w:before="76" w:after="0"/>
        <w:ind w:left="750" w:right="549" w:hanging="358"/>
        <w:jc w:val="left"/>
        <w:rPr>
          <w:sz w:val="22"/>
        </w:rPr>
      </w:pPr>
      <w:r>
        <w:rPr>
          <w:w w:val="115"/>
          <w:sz w:val="22"/>
        </w:rPr>
        <w:t>a copy of the achievement standard(s) and assessment specifications you are to be</w:t>
      </w:r>
      <w:r>
        <w:rPr>
          <w:spacing w:val="-33"/>
          <w:w w:val="115"/>
          <w:sz w:val="22"/>
        </w:rPr>
        <w:t> </w:t>
      </w:r>
      <w:r>
        <w:rPr>
          <w:w w:val="115"/>
          <w:sz w:val="22"/>
        </w:rPr>
        <w:t>assessing against</w:t>
      </w:r>
    </w:p>
    <w:p>
      <w:pPr>
        <w:pStyle w:val="ListParagraph"/>
        <w:numPr>
          <w:ilvl w:val="0"/>
          <w:numId w:val="2"/>
        </w:numPr>
        <w:tabs>
          <w:tab w:pos="749" w:val="left" w:leader="none"/>
          <w:tab w:pos="750" w:val="left" w:leader="none"/>
        </w:tabs>
        <w:spacing w:line="240" w:lineRule="auto" w:before="135" w:after="0"/>
        <w:ind w:left="749" w:right="0" w:hanging="357"/>
        <w:jc w:val="left"/>
        <w:rPr>
          <w:sz w:val="22"/>
        </w:rPr>
      </w:pPr>
      <w:r>
        <w:rPr>
          <w:w w:val="110"/>
          <w:sz w:val="22"/>
        </w:rPr>
        <w:t>laptop (if instructed by your panel leader)</w:t>
      </w:r>
    </w:p>
    <w:p>
      <w:pPr>
        <w:pStyle w:val="ListParagraph"/>
        <w:numPr>
          <w:ilvl w:val="0"/>
          <w:numId w:val="2"/>
        </w:numPr>
        <w:tabs>
          <w:tab w:pos="749" w:val="left" w:leader="none"/>
          <w:tab w:pos="750" w:val="left" w:leader="none"/>
        </w:tabs>
        <w:spacing w:line="240" w:lineRule="auto" w:before="133" w:after="0"/>
        <w:ind w:left="749" w:right="0" w:hanging="357"/>
        <w:jc w:val="left"/>
        <w:rPr>
          <w:sz w:val="22"/>
        </w:rPr>
      </w:pPr>
      <w:r>
        <w:rPr>
          <w:w w:val="110"/>
          <w:sz w:val="22"/>
        </w:rPr>
        <w:t>a red pen, pencil and</w:t>
      </w:r>
      <w:r>
        <w:rPr>
          <w:spacing w:val="1"/>
          <w:w w:val="110"/>
          <w:sz w:val="22"/>
        </w:rPr>
        <w:t> </w:t>
      </w:r>
      <w:r>
        <w:rPr>
          <w:w w:val="110"/>
          <w:sz w:val="22"/>
        </w:rPr>
        <w:t>highlighter</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w w:val="110"/>
          <w:sz w:val="22"/>
        </w:rPr>
        <w:t>anything else the panel leader has asked you to bring, e.g. ‘Post-its’, exemplars, USB</w:t>
      </w:r>
      <w:r>
        <w:rPr>
          <w:spacing w:val="13"/>
          <w:w w:val="110"/>
          <w:sz w:val="22"/>
        </w:rPr>
        <w:t> </w:t>
      </w:r>
      <w:r>
        <w:rPr>
          <w:w w:val="110"/>
          <w:sz w:val="22"/>
        </w:rPr>
        <w:t>stick.</w:t>
      </w:r>
    </w:p>
    <w:p>
      <w:pPr>
        <w:pStyle w:val="BodyText"/>
        <w:spacing w:before="4"/>
        <w:rPr>
          <w:sz w:val="31"/>
        </w:rPr>
      </w:pPr>
    </w:p>
    <w:p>
      <w:pPr>
        <w:pStyle w:val="Heading3"/>
      </w:pPr>
      <w:bookmarkStart w:name="_TOC_250034" w:id="14"/>
      <w:bookmarkEnd w:id="14"/>
      <w:r>
        <w:rPr>
          <w:w w:val="125"/>
        </w:rPr>
        <w:t>Assessment decisions</w:t>
      </w:r>
    </w:p>
    <w:p>
      <w:pPr>
        <w:pStyle w:val="BodyText"/>
        <w:spacing w:before="120"/>
        <w:ind w:left="392" w:right="674"/>
      </w:pPr>
      <w:r>
        <w:rPr>
          <w:w w:val="110"/>
        </w:rPr>
        <w:t>Throughout the assessment process, you will be required to make interpretations based on your professional judgement to arrive at grades. In exercising professional judgement, you must ensure that:</w:t>
      </w:r>
    </w:p>
    <w:p>
      <w:pPr>
        <w:pStyle w:val="ListParagraph"/>
        <w:numPr>
          <w:ilvl w:val="0"/>
          <w:numId w:val="2"/>
        </w:numPr>
        <w:tabs>
          <w:tab w:pos="749" w:val="left" w:leader="none"/>
          <w:tab w:pos="750" w:val="left" w:leader="none"/>
        </w:tabs>
        <w:spacing w:line="240" w:lineRule="auto" w:before="134" w:after="0"/>
        <w:ind w:left="750" w:right="1220" w:hanging="358"/>
        <w:jc w:val="left"/>
        <w:rPr>
          <w:sz w:val="22"/>
        </w:rPr>
      </w:pPr>
      <w:r>
        <w:rPr>
          <w:w w:val="110"/>
          <w:sz w:val="22"/>
        </w:rPr>
        <w:t>the candidate performance meets the standard required by the achievement standard as illustrated by bench mark</w:t>
      </w:r>
      <w:r>
        <w:rPr>
          <w:spacing w:val="1"/>
          <w:w w:val="110"/>
          <w:sz w:val="22"/>
        </w:rPr>
        <w:t> </w:t>
      </w:r>
      <w:r>
        <w:rPr>
          <w:w w:val="110"/>
          <w:sz w:val="22"/>
        </w:rPr>
        <w:t>materials</w:t>
      </w:r>
    </w:p>
    <w:p>
      <w:pPr>
        <w:pStyle w:val="ListParagraph"/>
        <w:numPr>
          <w:ilvl w:val="0"/>
          <w:numId w:val="2"/>
        </w:numPr>
        <w:tabs>
          <w:tab w:pos="749" w:val="left" w:leader="none"/>
          <w:tab w:pos="750" w:val="left" w:leader="none"/>
        </w:tabs>
        <w:spacing w:line="240" w:lineRule="auto" w:before="134" w:after="0"/>
        <w:ind w:left="749" w:right="0" w:hanging="357"/>
        <w:jc w:val="left"/>
        <w:rPr>
          <w:sz w:val="22"/>
        </w:rPr>
      </w:pPr>
      <w:r>
        <w:rPr>
          <w:w w:val="110"/>
          <w:sz w:val="22"/>
        </w:rPr>
        <w:t>the candidate’s evidence is consistent with the assessment</w:t>
      </w:r>
      <w:r>
        <w:rPr>
          <w:spacing w:val="23"/>
          <w:w w:val="110"/>
          <w:sz w:val="22"/>
        </w:rPr>
        <w:t> </w:t>
      </w:r>
      <w:r>
        <w:rPr>
          <w:w w:val="110"/>
          <w:sz w:val="22"/>
        </w:rPr>
        <w:t>schedule</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w w:val="110"/>
          <w:sz w:val="22"/>
        </w:rPr>
        <w:t>the evidence provided by the candidate is sufficient for a reliable judgement,</w:t>
      </w:r>
      <w:r>
        <w:rPr>
          <w:spacing w:val="-4"/>
          <w:w w:val="110"/>
          <w:sz w:val="22"/>
        </w:rPr>
        <w:t> </w:t>
      </w:r>
      <w:r>
        <w:rPr>
          <w:w w:val="110"/>
          <w:sz w:val="22"/>
        </w:rPr>
        <w:t>and</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pict>
          <v:shape style="position:absolute;margin-left:56.880001pt;margin-top:25.589542pt;width:481.45pt;height:37.8pt;mso-position-horizontal-relative:page;mso-position-vertical-relative:paragraph;z-index:-856;mso-wrap-distance-left:0;mso-wrap-distance-right:0" type="#_x0000_t202" filled="true" fillcolor="#f9bf8e" stroked="true" strokeweight=".480011pt" strokecolor="#000000">
            <v:textbox inset="0,0,0,0">
              <w:txbxContent>
                <w:p>
                  <w:pPr>
                    <w:pStyle w:val="BodyText"/>
                    <w:spacing w:before="121"/>
                    <w:ind w:left="475" w:right="121" w:hanging="166"/>
                  </w:pPr>
                  <w:r>
                    <w:rPr>
                      <w:w w:val="110"/>
                    </w:rPr>
                    <w:t>As the panel is assessing a nation-wide set of standards, markers will need to put aside their personal opinions on the standard of marking they would apply to their own student work.</w:t>
                  </w:r>
                </w:p>
              </w:txbxContent>
            </v:textbox>
            <v:fill type="solid"/>
            <v:stroke dashstyle="solid"/>
            <w10:wrap type="topAndBottom"/>
          </v:shape>
        </w:pict>
      </w:r>
      <w:r>
        <w:rPr>
          <w:w w:val="110"/>
          <w:sz w:val="22"/>
        </w:rPr>
        <w:t>other markers would make a comparable</w:t>
      </w:r>
      <w:r>
        <w:rPr>
          <w:spacing w:val="1"/>
          <w:w w:val="110"/>
          <w:sz w:val="22"/>
        </w:rPr>
        <w:t> </w:t>
      </w:r>
      <w:r>
        <w:rPr>
          <w:w w:val="110"/>
          <w:sz w:val="22"/>
        </w:rPr>
        <w:t>decision.</w:t>
      </w:r>
    </w:p>
    <w:p>
      <w:pPr>
        <w:spacing w:after="0" w:line="240" w:lineRule="auto"/>
        <w:jc w:val="left"/>
        <w:rPr>
          <w:sz w:val="22"/>
        </w:rPr>
        <w:sectPr>
          <w:pgSz w:w="11910" w:h="16840"/>
          <w:pgMar w:header="0" w:footer="858" w:top="940" w:bottom="1060" w:left="740" w:right="580"/>
        </w:sectPr>
      </w:pPr>
    </w:p>
    <w:p>
      <w:pPr>
        <w:pStyle w:val="Heading3"/>
        <w:spacing w:before="63"/>
      </w:pPr>
      <w:bookmarkStart w:name="_TOC_250033" w:id="15"/>
      <w:bookmarkEnd w:id="15"/>
      <w:r>
        <w:rPr>
          <w:w w:val="120"/>
        </w:rPr>
        <w:t>Marking practices</w:t>
      </w:r>
    </w:p>
    <w:p>
      <w:pPr>
        <w:pStyle w:val="BodyText"/>
        <w:spacing w:before="120"/>
        <w:ind w:left="392" w:right="514"/>
      </w:pPr>
      <w:r>
        <w:rPr>
          <w:w w:val="110"/>
        </w:rPr>
        <w:t>There are </w:t>
      </w:r>
      <w:r>
        <w:rPr>
          <w:w w:val="110"/>
          <w:u w:val="single"/>
        </w:rPr>
        <w:t>non-negotiable</w:t>
      </w:r>
      <w:r>
        <w:rPr>
          <w:w w:val="110"/>
        </w:rPr>
        <w:t> marking practices that must be followed by all markers. It is important for review and reconsideration purposes that you follow the instructions below.</w:t>
      </w:r>
    </w:p>
    <w:p>
      <w:pPr>
        <w:pStyle w:val="ListParagraph"/>
        <w:numPr>
          <w:ilvl w:val="0"/>
          <w:numId w:val="2"/>
        </w:numPr>
        <w:tabs>
          <w:tab w:pos="749" w:val="left" w:leader="none"/>
          <w:tab w:pos="750" w:val="left" w:leader="none"/>
        </w:tabs>
        <w:spacing w:line="240" w:lineRule="auto" w:before="135" w:after="0"/>
        <w:ind w:left="749" w:right="0" w:hanging="357"/>
        <w:jc w:val="left"/>
        <w:rPr>
          <w:sz w:val="22"/>
        </w:rPr>
      </w:pPr>
      <w:r>
        <w:rPr>
          <w:w w:val="110"/>
          <w:sz w:val="22"/>
        </w:rPr>
        <w:t>Use a </w:t>
      </w:r>
      <w:r>
        <w:rPr>
          <w:color w:val="FF0000"/>
          <w:w w:val="110"/>
          <w:sz w:val="22"/>
        </w:rPr>
        <w:t>red </w:t>
      </w:r>
      <w:r>
        <w:rPr>
          <w:w w:val="110"/>
          <w:sz w:val="22"/>
        </w:rPr>
        <w:t>pen ONLY for</w:t>
      </w:r>
      <w:r>
        <w:rPr>
          <w:spacing w:val="-43"/>
          <w:w w:val="110"/>
          <w:sz w:val="22"/>
        </w:rPr>
        <w:t> </w:t>
      </w:r>
      <w:r>
        <w:rPr>
          <w:w w:val="110"/>
          <w:sz w:val="22"/>
        </w:rPr>
        <w:t>marking.</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w w:val="110"/>
          <w:sz w:val="22"/>
        </w:rPr>
        <w:t>Do not use correcting</w:t>
      </w:r>
      <w:r>
        <w:rPr>
          <w:spacing w:val="-12"/>
          <w:w w:val="110"/>
          <w:sz w:val="22"/>
        </w:rPr>
        <w:t> </w:t>
      </w:r>
      <w:r>
        <w:rPr>
          <w:w w:val="110"/>
          <w:sz w:val="22"/>
        </w:rPr>
        <w:t>fluids/tapes.</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w w:val="110"/>
          <w:sz w:val="22"/>
        </w:rPr>
        <w:t>The nature of the subject allows for candidates to use pencil, this need not be</w:t>
      </w:r>
      <w:r>
        <w:rPr>
          <w:spacing w:val="31"/>
          <w:w w:val="110"/>
          <w:sz w:val="22"/>
        </w:rPr>
        <w:t> </w:t>
      </w:r>
      <w:r>
        <w:rPr>
          <w:w w:val="110"/>
          <w:sz w:val="22"/>
        </w:rPr>
        <w:t>recorded.</w:t>
      </w:r>
    </w:p>
    <w:p>
      <w:pPr>
        <w:pStyle w:val="ListParagraph"/>
        <w:numPr>
          <w:ilvl w:val="0"/>
          <w:numId w:val="2"/>
        </w:numPr>
        <w:tabs>
          <w:tab w:pos="749" w:val="left" w:leader="none"/>
          <w:tab w:pos="750" w:val="left" w:leader="none"/>
        </w:tabs>
        <w:spacing w:line="240" w:lineRule="auto" w:before="73" w:after="0"/>
        <w:ind w:left="749" w:right="0" w:hanging="357"/>
        <w:jc w:val="left"/>
        <w:rPr>
          <w:sz w:val="22"/>
        </w:rPr>
      </w:pPr>
      <w:r>
        <w:rPr>
          <w:w w:val="110"/>
          <w:sz w:val="22"/>
        </w:rPr>
        <w:t>Do NOT write on or place any lines in the shaded A, M, E boxes on the</w:t>
      </w:r>
      <w:r>
        <w:rPr>
          <w:spacing w:val="-4"/>
          <w:w w:val="110"/>
          <w:sz w:val="22"/>
        </w:rPr>
        <w:t> </w:t>
      </w:r>
      <w:r>
        <w:rPr>
          <w:w w:val="110"/>
          <w:sz w:val="22"/>
        </w:rPr>
        <w:t>envelope.</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w w:val="110"/>
          <w:sz w:val="22"/>
        </w:rPr>
        <w:t>For non-personalised assessment envelopes, write on the top left</w:t>
      </w:r>
      <w:r>
        <w:rPr>
          <w:spacing w:val="26"/>
          <w:w w:val="110"/>
          <w:sz w:val="22"/>
        </w:rPr>
        <w:t> </w:t>
      </w:r>
      <w:r>
        <w:rPr>
          <w:w w:val="110"/>
          <w:sz w:val="22"/>
        </w:rPr>
        <w:t>corner:</w:t>
      </w:r>
    </w:p>
    <w:p>
      <w:pPr>
        <w:pStyle w:val="ListParagraph"/>
        <w:numPr>
          <w:ilvl w:val="1"/>
          <w:numId w:val="2"/>
        </w:numPr>
        <w:tabs>
          <w:tab w:pos="1472" w:val="left" w:leader="none"/>
          <w:tab w:pos="1473" w:val="left" w:leader="none"/>
        </w:tabs>
        <w:spacing w:line="240" w:lineRule="auto" w:before="59" w:after="0"/>
        <w:ind w:left="1472" w:right="0" w:hanging="360"/>
        <w:jc w:val="left"/>
        <w:rPr>
          <w:sz w:val="22"/>
        </w:rPr>
      </w:pPr>
      <w:r>
        <w:rPr>
          <w:w w:val="110"/>
          <w:sz w:val="22"/>
        </w:rPr>
        <w:t>your 4-digit marker</w:t>
      </w:r>
      <w:r>
        <w:rPr>
          <w:spacing w:val="-1"/>
          <w:w w:val="110"/>
          <w:sz w:val="22"/>
        </w:rPr>
        <w:t> </w:t>
      </w:r>
      <w:r>
        <w:rPr>
          <w:w w:val="110"/>
          <w:sz w:val="22"/>
        </w:rPr>
        <w:t>code</w:t>
      </w:r>
    </w:p>
    <w:p>
      <w:pPr>
        <w:pStyle w:val="ListParagraph"/>
        <w:numPr>
          <w:ilvl w:val="1"/>
          <w:numId w:val="2"/>
        </w:numPr>
        <w:tabs>
          <w:tab w:pos="1472" w:val="left" w:leader="none"/>
          <w:tab w:pos="1473" w:val="left" w:leader="none"/>
        </w:tabs>
        <w:spacing w:line="240" w:lineRule="auto" w:before="59" w:after="0"/>
        <w:ind w:left="1472" w:right="0" w:hanging="360"/>
        <w:jc w:val="left"/>
        <w:rPr>
          <w:sz w:val="22"/>
        </w:rPr>
      </w:pPr>
      <w:r>
        <w:rPr>
          <w:w w:val="110"/>
          <w:sz w:val="22"/>
        </w:rPr>
        <w:t>the candidate’s</w:t>
      </w:r>
      <w:r>
        <w:rPr>
          <w:spacing w:val="1"/>
          <w:w w:val="110"/>
          <w:sz w:val="22"/>
        </w:rPr>
        <w:t> </w:t>
      </w:r>
      <w:r>
        <w:rPr>
          <w:w w:val="110"/>
          <w:sz w:val="22"/>
        </w:rPr>
        <w:t>NSN</w:t>
      </w:r>
    </w:p>
    <w:p>
      <w:pPr>
        <w:pStyle w:val="ListParagraph"/>
        <w:numPr>
          <w:ilvl w:val="1"/>
          <w:numId w:val="2"/>
        </w:numPr>
        <w:tabs>
          <w:tab w:pos="1472" w:val="left" w:leader="none"/>
          <w:tab w:pos="1473" w:val="left" w:leader="none"/>
        </w:tabs>
        <w:spacing w:line="240" w:lineRule="auto" w:before="62" w:after="0"/>
        <w:ind w:left="1472" w:right="0" w:hanging="360"/>
        <w:jc w:val="left"/>
        <w:rPr>
          <w:sz w:val="22"/>
        </w:rPr>
      </w:pPr>
      <w:r>
        <w:rPr>
          <w:w w:val="115"/>
          <w:sz w:val="22"/>
        </w:rPr>
        <w:t>the exam centre</w:t>
      </w:r>
      <w:r>
        <w:rPr>
          <w:spacing w:val="-8"/>
          <w:w w:val="115"/>
          <w:sz w:val="22"/>
        </w:rPr>
        <w:t> </w:t>
      </w:r>
      <w:r>
        <w:rPr>
          <w:w w:val="115"/>
          <w:sz w:val="22"/>
        </w:rPr>
        <w:t>code</w:t>
      </w:r>
    </w:p>
    <w:p>
      <w:pPr>
        <w:pStyle w:val="ListParagraph"/>
        <w:numPr>
          <w:ilvl w:val="1"/>
          <w:numId w:val="2"/>
        </w:numPr>
        <w:tabs>
          <w:tab w:pos="1472" w:val="left" w:leader="none"/>
          <w:tab w:pos="1473" w:val="left" w:leader="none"/>
        </w:tabs>
        <w:spacing w:line="240" w:lineRule="auto" w:before="59" w:after="0"/>
        <w:ind w:left="1472" w:right="0" w:hanging="360"/>
        <w:jc w:val="left"/>
        <w:rPr>
          <w:sz w:val="22"/>
        </w:rPr>
      </w:pPr>
      <w:r>
        <w:rPr>
          <w:w w:val="115"/>
          <w:sz w:val="22"/>
        </w:rPr>
        <w:t>the exam</w:t>
      </w:r>
      <w:r>
        <w:rPr>
          <w:spacing w:val="-4"/>
          <w:w w:val="115"/>
          <w:sz w:val="22"/>
        </w:rPr>
        <w:t> </w:t>
      </w:r>
      <w:r>
        <w:rPr>
          <w:w w:val="115"/>
          <w:sz w:val="22"/>
        </w:rPr>
        <w:t>code.</w:t>
      </w:r>
    </w:p>
    <w:p>
      <w:pPr>
        <w:pStyle w:val="ListParagraph"/>
        <w:numPr>
          <w:ilvl w:val="0"/>
          <w:numId w:val="2"/>
        </w:numPr>
        <w:tabs>
          <w:tab w:pos="749" w:val="left" w:leader="none"/>
          <w:tab w:pos="750" w:val="left" w:leader="none"/>
        </w:tabs>
        <w:spacing w:line="240" w:lineRule="auto" w:before="135" w:after="0"/>
        <w:ind w:left="750" w:right="903" w:hanging="358"/>
        <w:jc w:val="left"/>
        <w:rPr>
          <w:sz w:val="22"/>
        </w:rPr>
      </w:pPr>
      <w:r>
        <w:rPr>
          <w:w w:val="110"/>
          <w:sz w:val="22"/>
        </w:rPr>
        <w:t>If you need to change an entry on the assessment envelope, cross out the error, write in the correct result in red pen and initial next to the</w:t>
      </w:r>
      <w:r>
        <w:rPr>
          <w:spacing w:val="-3"/>
          <w:w w:val="110"/>
          <w:sz w:val="22"/>
        </w:rPr>
        <w:t> </w:t>
      </w:r>
      <w:r>
        <w:rPr>
          <w:w w:val="110"/>
          <w:sz w:val="22"/>
        </w:rPr>
        <w:t>change.</w:t>
      </w:r>
    </w:p>
    <w:p>
      <w:pPr>
        <w:pStyle w:val="ListParagraph"/>
        <w:numPr>
          <w:ilvl w:val="0"/>
          <w:numId w:val="2"/>
        </w:numPr>
        <w:tabs>
          <w:tab w:pos="749" w:val="left" w:leader="none"/>
          <w:tab w:pos="750" w:val="left" w:leader="none"/>
        </w:tabs>
        <w:spacing w:line="240" w:lineRule="auto" w:before="135" w:after="0"/>
        <w:ind w:left="749" w:right="0" w:hanging="357"/>
        <w:jc w:val="left"/>
        <w:rPr>
          <w:sz w:val="22"/>
        </w:rPr>
      </w:pPr>
      <w:r>
        <w:rPr>
          <w:w w:val="110"/>
          <w:sz w:val="22"/>
        </w:rPr>
        <w:t>DO </w:t>
      </w:r>
      <w:r>
        <w:rPr>
          <w:spacing w:val="-3"/>
          <w:w w:val="110"/>
          <w:sz w:val="22"/>
        </w:rPr>
        <w:t>NOT </w:t>
      </w:r>
      <w:r>
        <w:rPr>
          <w:w w:val="110"/>
          <w:sz w:val="22"/>
        </w:rPr>
        <w:t>write comments to</w:t>
      </w:r>
      <w:r>
        <w:rPr>
          <w:spacing w:val="8"/>
          <w:w w:val="110"/>
          <w:sz w:val="22"/>
        </w:rPr>
        <w:t> </w:t>
      </w:r>
      <w:r>
        <w:rPr>
          <w:w w:val="110"/>
          <w:sz w:val="22"/>
        </w:rPr>
        <w:t>candidates.</w:t>
      </w:r>
    </w:p>
    <w:p>
      <w:pPr>
        <w:pStyle w:val="ListParagraph"/>
        <w:numPr>
          <w:ilvl w:val="0"/>
          <w:numId w:val="2"/>
        </w:numPr>
        <w:tabs>
          <w:tab w:pos="749" w:val="left" w:leader="none"/>
          <w:tab w:pos="750" w:val="left" w:leader="none"/>
        </w:tabs>
        <w:spacing w:line="252" w:lineRule="exact" w:before="136" w:after="0"/>
        <w:ind w:left="749" w:right="0" w:hanging="357"/>
        <w:jc w:val="left"/>
        <w:rPr>
          <w:sz w:val="22"/>
        </w:rPr>
      </w:pPr>
      <w:r>
        <w:rPr>
          <w:w w:val="110"/>
          <w:sz w:val="22"/>
        </w:rPr>
        <w:t>Results must be entered in, correct and legible writing, on the Answer Booklet Control</w:t>
      </w:r>
      <w:r>
        <w:rPr>
          <w:spacing w:val="-23"/>
          <w:w w:val="110"/>
          <w:sz w:val="22"/>
        </w:rPr>
        <w:t> </w:t>
      </w:r>
      <w:r>
        <w:rPr>
          <w:w w:val="110"/>
          <w:sz w:val="22"/>
        </w:rPr>
        <w:t>Sheet.</w:t>
      </w:r>
    </w:p>
    <w:p>
      <w:pPr>
        <w:pStyle w:val="BodyText"/>
        <w:spacing w:line="252" w:lineRule="exact"/>
        <w:ind w:left="750"/>
      </w:pPr>
      <w:r>
        <w:rPr>
          <w:w w:val="105"/>
        </w:rPr>
        <w:t>Use the capital letters N, A, M, E, Y or Z.</w:t>
      </w:r>
    </w:p>
    <w:p>
      <w:pPr>
        <w:pStyle w:val="ListParagraph"/>
        <w:numPr>
          <w:ilvl w:val="0"/>
          <w:numId w:val="2"/>
        </w:numPr>
        <w:tabs>
          <w:tab w:pos="749" w:val="left" w:leader="none"/>
          <w:tab w:pos="750" w:val="left" w:leader="none"/>
        </w:tabs>
        <w:spacing w:line="240" w:lineRule="auto" w:before="16" w:after="0"/>
        <w:ind w:left="750" w:right="586" w:hanging="358"/>
        <w:jc w:val="left"/>
        <w:rPr>
          <w:sz w:val="22"/>
        </w:rPr>
      </w:pPr>
      <w:r>
        <w:rPr>
          <w:w w:val="110"/>
          <w:sz w:val="22"/>
        </w:rPr>
        <w:t>If there is any doubt as to whether evidence for a particular standard has been presented in the portfolio then enter N as the result. You may ask your senior marker to make a ruling on this portfolio (add the portfolio to the others sent to your check</w:t>
      </w:r>
      <w:r>
        <w:rPr>
          <w:spacing w:val="-23"/>
          <w:w w:val="110"/>
          <w:sz w:val="22"/>
        </w:rPr>
        <w:t> </w:t>
      </w:r>
      <w:r>
        <w:rPr>
          <w:w w:val="110"/>
          <w:sz w:val="22"/>
        </w:rPr>
        <w:t>marker).</w:t>
      </w:r>
    </w:p>
    <w:p>
      <w:pPr>
        <w:pStyle w:val="ListParagraph"/>
        <w:numPr>
          <w:ilvl w:val="0"/>
          <w:numId w:val="2"/>
        </w:numPr>
        <w:tabs>
          <w:tab w:pos="749" w:val="left" w:leader="none"/>
          <w:tab w:pos="750" w:val="left" w:leader="none"/>
        </w:tabs>
        <w:spacing w:line="240" w:lineRule="auto" w:before="134" w:after="0"/>
        <w:ind w:left="750" w:right="783" w:hanging="358"/>
        <w:jc w:val="left"/>
        <w:rPr>
          <w:sz w:val="22"/>
        </w:rPr>
      </w:pPr>
      <w:r>
        <w:rPr>
          <w:w w:val="110"/>
          <w:sz w:val="22"/>
        </w:rPr>
        <w:t>On the assessment envelopes, use the capital letters N, </w:t>
      </w:r>
      <w:r>
        <w:rPr>
          <w:spacing w:val="-4"/>
          <w:w w:val="110"/>
          <w:sz w:val="22"/>
        </w:rPr>
        <w:t>A, </w:t>
      </w:r>
      <w:r>
        <w:rPr>
          <w:w w:val="110"/>
          <w:sz w:val="22"/>
        </w:rPr>
        <w:t>M, E. (and Y or Z only as outlined above)</w:t>
      </w:r>
    </w:p>
    <w:p>
      <w:pPr>
        <w:pStyle w:val="ListParagraph"/>
        <w:numPr>
          <w:ilvl w:val="0"/>
          <w:numId w:val="2"/>
        </w:numPr>
        <w:tabs>
          <w:tab w:pos="749" w:val="left" w:leader="none"/>
          <w:tab w:pos="750" w:val="left" w:leader="none"/>
        </w:tabs>
        <w:spacing w:line="240" w:lineRule="auto" w:before="135" w:after="0"/>
        <w:ind w:left="750" w:right="755" w:hanging="358"/>
        <w:jc w:val="left"/>
        <w:rPr>
          <w:sz w:val="22"/>
        </w:rPr>
      </w:pPr>
      <w:r>
        <w:rPr>
          <w:w w:val="110"/>
          <w:sz w:val="22"/>
        </w:rPr>
        <w:t>Do not put any numbers or letters on the candidate material, unless instructed to by the panel leader.</w:t>
      </w:r>
    </w:p>
    <w:p>
      <w:pPr>
        <w:pStyle w:val="BodyText"/>
        <w:spacing w:before="1" w:after="1"/>
        <w:rPr>
          <w:sz w:val="10"/>
        </w:rPr>
      </w:pPr>
    </w:p>
    <w:tbl>
      <w:tblPr>
        <w:tblW w:w="0" w:type="auto"/>
        <w:jc w:val="left"/>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8"/>
        <w:gridCol w:w="8292"/>
      </w:tblGrid>
      <w:tr>
        <w:trPr>
          <w:trHeight w:val="333" w:hRule="atLeast"/>
        </w:trPr>
        <w:tc>
          <w:tcPr>
            <w:tcW w:w="1188" w:type="dxa"/>
            <w:shd w:val="clear" w:color="auto" w:fill="00AFEF"/>
          </w:tcPr>
          <w:p>
            <w:pPr>
              <w:pStyle w:val="TableParagraph"/>
              <w:spacing w:before="41"/>
              <w:ind w:left="231" w:right="219"/>
              <w:jc w:val="center"/>
              <w:rPr>
                <w:sz w:val="22"/>
              </w:rPr>
            </w:pPr>
            <w:r>
              <w:rPr>
                <w:color w:val="FFFFFF"/>
                <w:w w:val="125"/>
                <w:sz w:val="22"/>
              </w:rPr>
              <w:t>Codes</w:t>
            </w:r>
          </w:p>
        </w:tc>
        <w:tc>
          <w:tcPr>
            <w:tcW w:w="8292" w:type="dxa"/>
            <w:shd w:val="clear" w:color="auto" w:fill="00AFEF"/>
          </w:tcPr>
          <w:p>
            <w:pPr>
              <w:pStyle w:val="TableParagraph"/>
              <w:spacing w:before="41"/>
              <w:ind w:left="110"/>
              <w:rPr>
                <w:sz w:val="22"/>
              </w:rPr>
            </w:pPr>
            <w:r>
              <w:rPr>
                <w:color w:val="FFFFFF"/>
                <w:w w:val="125"/>
                <w:sz w:val="22"/>
              </w:rPr>
              <w:t>Reason</w:t>
            </w:r>
          </w:p>
        </w:tc>
      </w:tr>
      <w:tr>
        <w:trPr>
          <w:trHeight w:val="333" w:hRule="atLeast"/>
        </w:trPr>
        <w:tc>
          <w:tcPr>
            <w:tcW w:w="1188" w:type="dxa"/>
          </w:tcPr>
          <w:p>
            <w:pPr>
              <w:pStyle w:val="TableParagraph"/>
              <w:spacing w:before="41"/>
              <w:ind w:left="13"/>
              <w:jc w:val="center"/>
              <w:rPr>
                <w:sz w:val="22"/>
              </w:rPr>
            </w:pPr>
            <w:r>
              <w:rPr>
                <w:w w:val="100"/>
                <w:sz w:val="22"/>
              </w:rPr>
              <w:t>N</w:t>
            </w:r>
          </w:p>
        </w:tc>
        <w:tc>
          <w:tcPr>
            <w:tcW w:w="8292" w:type="dxa"/>
          </w:tcPr>
          <w:p>
            <w:pPr>
              <w:pStyle w:val="TableParagraph"/>
              <w:spacing w:before="41"/>
              <w:ind w:left="109"/>
              <w:rPr>
                <w:sz w:val="22"/>
              </w:rPr>
            </w:pPr>
            <w:r>
              <w:rPr>
                <w:w w:val="105"/>
                <w:sz w:val="22"/>
              </w:rPr>
              <w:t>Not Achieved</w:t>
            </w:r>
          </w:p>
        </w:tc>
      </w:tr>
      <w:tr>
        <w:trPr>
          <w:trHeight w:val="333" w:hRule="atLeast"/>
        </w:trPr>
        <w:tc>
          <w:tcPr>
            <w:tcW w:w="1188" w:type="dxa"/>
          </w:tcPr>
          <w:p>
            <w:pPr>
              <w:pStyle w:val="TableParagraph"/>
              <w:spacing w:before="41"/>
              <w:ind w:left="13"/>
              <w:jc w:val="center"/>
              <w:rPr>
                <w:sz w:val="22"/>
              </w:rPr>
            </w:pPr>
            <w:r>
              <w:rPr>
                <w:w w:val="100"/>
                <w:sz w:val="22"/>
              </w:rPr>
              <w:t>A</w:t>
            </w:r>
          </w:p>
        </w:tc>
        <w:tc>
          <w:tcPr>
            <w:tcW w:w="8292" w:type="dxa"/>
          </w:tcPr>
          <w:p>
            <w:pPr>
              <w:pStyle w:val="TableParagraph"/>
              <w:spacing w:before="41"/>
              <w:ind w:left="109"/>
              <w:rPr>
                <w:sz w:val="22"/>
              </w:rPr>
            </w:pPr>
            <w:r>
              <w:rPr>
                <w:w w:val="110"/>
                <w:sz w:val="22"/>
              </w:rPr>
              <w:t>Achievement</w:t>
            </w:r>
          </w:p>
        </w:tc>
      </w:tr>
      <w:tr>
        <w:trPr>
          <w:trHeight w:val="333" w:hRule="atLeast"/>
        </w:trPr>
        <w:tc>
          <w:tcPr>
            <w:tcW w:w="1188" w:type="dxa"/>
          </w:tcPr>
          <w:p>
            <w:pPr>
              <w:pStyle w:val="TableParagraph"/>
              <w:spacing w:before="41"/>
              <w:ind w:left="13"/>
              <w:jc w:val="center"/>
              <w:rPr>
                <w:sz w:val="22"/>
              </w:rPr>
            </w:pPr>
            <w:r>
              <w:rPr>
                <w:w w:val="94"/>
                <w:sz w:val="22"/>
              </w:rPr>
              <w:t>M</w:t>
            </w:r>
          </w:p>
        </w:tc>
        <w:tc>
          <w:tcPr>
            <w:tcW w:w="8292" w:type="dxa"/>
          </w:tcPr>
          <w:p>
            <w:pPr>
              <w:pStyle w:val="TableParagraph"/>
              <w:spacing w:before="41"/>
              <w:ind w:left="110"/>
              <w:rPr>
                <w:sz w:val="22"/>
              </w:rPr>
            </w:pPr>
            <w:r>
              <w:rPr>
                <w:sz w:val="22"/>
              </w:rPr>
              <w:t>Achievement with Merit</w:t>
            </w:r>
          </w:p>
        </w:tc>
      </w:tr>
      <w:tr>
        <w:trPr>
          <w:trHeight w:val="333" w:hRule="atLeast"/>
        </w:trPr>
        <w:tc>
          <w:tcPr>
            <w:tcW w:w="1188" w:type="dxa"/>
          </w:tcPr>
          <w:p>
            <w:pPr>
              <w:pStyle w:val="TableParagraph"/>
              <w:spacing w:before="41"/>
              <w:ind w:left="15"/>
              <w:jc w:val="center"/>
              <w:rPr>
                <w:sz w:val="22"/>
              </w:rPr>
            </w:pPr>
            <w:r>
              <w:rPr>
                <w:w w:val="109"/>
                <w:sz w:val="22"/>
              </w:rPr>
              <w:t>E</w:t>
            </w:r>
          </w:p>
        </w:tc>
        <w:tc>
          <w:tcPr>
            <w:tcW w:w="8292" w:type="dxa"/>
          </w:tcPr>
          <w:p>
            <w:pPr>
              <w:pStyle w:val="TableParagraph"/>
              <w:spacing w:before="41"/>
              <w:ind w:left="110"/>
              <w:rPr>
                <w:sz w:val="22"/>
              </w:rPr>
            </w:pPr>
            <w:r>
              <w:rPr>
                <w:w w:val="105"/>
                <w:sz w:val="22"/>
              </w:rPr>
              <w:t>Achievement with Excellence</w:t>
            </w:r>
          </w:p>
        </w:tc>
      </w:tr>
      <w:tr>
        <w:trPr>
          <w:trHeight w:val="333" w:hRule="atLeast"/>
        </w:trPr>
        <w:tc>
          <w:tcPr>
            <w:tcW w:w="1188" w:type="dxa"/>
          </w:tcPr>
          <w:p>
            <w:pPr>
              <w:pStyle w:val="TableParagraph"/>
              <w:spacing w:before="41"/>
              <w:ind w:left="15"/>
              <w:jc w:val="center"/>
              <w:rPr>
                <w:sz w:val="22"/>
              </w:rPr>
            </w:pPr>
            <w:r>
              <w:rPr>
                <w:w w:val="92"/>
                <w:sz w:val="22"/>
              </w:rPr>
              <w:t>Y</w:t>
            </w:r>
          </w:p>
        </w:tc>
        <w:tc>
          <w:tcPr>
            <w:tcW w:w="8292" w:type="dxa"/>
          </w:tcPr>
          <w:p>
            <w:pPr>
              <w:pStyle w:val="TableParagraph"/>
              <w:spacing w:before="41"/>
              <w:ind w:left="110"/>
              <w:rPr>
                <w:sz w:val="22"/>
              </w:rPr>
            </w:pPr>
            <w:r>
              <w:rPr>
                <w:w w:val="110"/>
                <w:sz w:val="22"/>
              </w:rPr>
              <w:t>Envelope containing no candidate work</w:t>
            </w:r>
          </w:p>
        </w:tc>
      </w:tr>
      <w:tr>
        <w:trPr>
          <w:trHeight w:val="333" w:hRule="atLeast"/>
        </w:trPr>
        <w:tc>
          <w:tcPr>
            <w:tcW w:w="1188" w:type="dxa"/>
          </w:tcPr>
          <w:p>
            <w:pPr>
              <w:pStyle w:val="TableParagraph"/>
              <w:spacing w:before="41"/>
              <w:ind w:left="12"/>
              <w:jc w:val="center"/>
              <w:rPr>
                <w:sz w:val="22"/>
              </w:rPr>
            </w:pPr>
            <w:r>
              <w:rPr>
                <w:w w:val="100"/>
                <w:sz w:val="22"/>
              </w:rPr>
              <w:t>Z</w:t>
            </w:r>
          </w:p>
        </w:tc>
        <w:tc>
          <w:tcPr>
            <w:tcW w:w="8292" w:type="dxa"/>
          </w:tcPr>
          <w:p>
            <w:pPr>
              <w:pStyle w:val="TableParagraph"/>
              <w:spacing w:before="41"/>
              <w:ind w:left="110"/>
              <w:rPr>
                <w:sz w:val="22"/>
              </w:rPr>
            </w:pPr>
            <w:r>
              <w:rPr>
                <w:w w:val="110"/>
                <w:sz w:val="22"/>
              </w:rPr>
              <w:t>Missing envelope</w:t>
            </w:r>
          </w:p>
        </w:tc>
      </w:tr>
    </w:tbl>
    <w:p>
      <w:pPr>
        <w:pStyle w:val="BodyText"/>
        <w:spacing w:before="11"/>
        <w:rPr>
          <w:sz w:val="20"/>
        </w:rPr>
      </w:pPr>
    </w:p>
    <w:p>
      <w:pPr>
        <w:pStyle w:val="BodyText"/>
        <w:ind w:left="392"/>
      </w:pPr>
      <w:r>
        <w:rPr>
          <w:w w:val="110"/>
        </w:rPr>
        <w:t>As a marker, you should be confident that:</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w w:val="110"/>
          <w:sz w:val="22"/>
        </w:rPr>
        <w:t>all work has been marked</w:t>
      </w:r>
    </w:p>
    <w:p>
      <w:pPr>
        <w:pStyle w:val="ListParagraph"/>
        <w:numPr>
          <w:ilvl w:val="0"/>
          <w:numId w:val="2"/>
        </w:numPr>
        <w:tabs>
          <w:tab w:pos="749" w:val="left" w:leader="none"/>
          <w:tab w:pos="750" w:val="left" w:leader="none"/>
        </w:tabs>
        <w:spacing w:line="240" w:lineRule="auto" w:before="133" w:after="0"/>
        <w:ind w:left="749" w:right="0" w:hanging="357"/>
        <w:jc w:val="left"/>
        <w:rPr>
          <w:sz w:val="22"/>
        </w:rPr>
      </w:pPr>
      <w:r>
        <w:rPr>
          <w:w w:val="115"/>
          <w:sz w:val="22"/>
        </w:rPr>
        <w:t>the</w:t>
      </w:r>
      <w:r>
        <w:rPr>
          <w:spacing w:val="-5"/>
          <w:w w:val="115"/>
          <w:sz w:val="22"/>
        </w:rPr>
        <w:t> </w:t>
      </w:r>
      <w:r>
        <w:rPr>
          <w:w w:val="115"/>
          <w:sz w:val="22"/>
        </w:rPr>
        <w:t>grade</w:t>
      </w:r>
      <w:r>
        <w:rPr>
          <w:spacing w:val="-3"/>
          <w:w w:val="115"/>
          <w:sz w:val="22"/>
        </w:rPr>
        <w:t> </w:t>
      </w:r>
      <w:r>
        <w:rPr>
          <w:w w:val="115"/>
          <w:sz w:val="22"/>
        </w:rPr>
        <w:t>has</w:t>
      </w:r>
      <w:r>
        <w:rPr>
          <w:spacing w:val="-6"/>
          <w:w w:val="115"/>
          <w:sz w:val="22"/>
        </w:rPr>
        <w:t> </w:t>
      </w:r>
      <w:r>
        <w:rPr>
          <w:w w:val="115"/>
          <w:sz w:val="22"/>
        </w:rPr>
        <w:t>been</w:t>
      </w:r>
      <w:r>
        <w:rPr>
          <w:spacing w:val="-2"/>
          <w:w w:val="115"/>
          <w:sz w:val="22"/>
        </w:rPr>
        <w:t> </w:t>
      </w:r>
      <w:r>
        <w:rPr>
          <w:w w:val="115"/>
          <w:sz w:val="22"/>
        </w:rPr>
        <w:t>entered</w:t>
      </w:r>
      <w:r>
        <w:rPr>
          <w:spacing w:val="-3"/>
          <w:w w:val="115"/>
          <w:sz w:val="22"/>
        </w:rPr>
        <w:t> </w:t>
      </w:r>
      <w:r>
        <w:rPr>
          <w:w w:val="115"/>
          <w:sz w:val="22"/>
        </w:rPr>
        <w:t>in</w:t>
      </w:r>
      <w:r>
        <w:rPr>
          <w:spacing w:val="-5"/>
          <w:w w:val="115"/>
          <w:sz w:val="22"/>
        </w:rPr>
        <w:t> </w:t>
      </w:r>
      <w:r>
        <w:rPr>
          <w:w w:val="115"/>
          <w:sz w:val="22"/>
        </w:rPr>
        <w:t>the</w:t>
      </w:r>
      <w:r>
        <w:rPr>
          <w:spacing w:val="-3"/>
          <w:w w:val="115"/>
          <w:sz w:val="22"/>
        </w:rPr>
        <w:t> </w:t>
      </w:r>
      <w:r>
        <w:rPr>
          <w:w w:val="115"/>
          <w:sz w:val="22"/>
        </w:rPr>
        <w:t>appropriate</w:t>
      </w:r>
      <w:r>
        <w:rPr>
          <w:spacing w:val="-3"/>
          <w:w w:val="115"/>
          <w:sz w:val="22"/>
        </w:rPr>
        <w:t> </w:t>
      </w:r>
      <w:r>
        <w:rPr>
          <w:w w:val="115"/>
          <w:sz w:val="22"/>
        </w:rPr>
        <w:t>place</w:t>
      </w:r>
      <w:r>
        <w:rPr>
          <w:spacing w:val="-4"/>
          <w:w w:val="115"/>
          <w:sz w:val="22"/>
        </w:rPr>
        <w:t> </w:t>
      </w:r>
      <w:r>
        <w:rPr>
          <w:w w:val="115"/>
          <w:sz w:val="22"/>
        </w:rPr>
        <w:t>on</w:t>
      </w:r>
      <w:r>
        <w:rPr>
          <w:spacing w:val="-5"/>
          <w:w w:val="115"/>
          <w:sz w:val="22"/>
        </w:rPr>
        <w:t> </w:t>
      </w:r>
      <w:r>
        <w:rPr>
          <w:w w:val="115"/>
          <w:sz w:val="22"/>
        </w:rPr>
        <w:t>the</w:t>
      </w:r>
      <w:r>
        <w:rPr>
          <w:spacing w:val="-2"/>
          <w:w w:val="115"/>
          <w:sz w:val="22"/>
        </w:rPr>
        <w:t> </w:t>
      </w:r>
      <w:r>
        <w:rPr>
          <w:w w:val="115"/>
          <w:sz w:val="22"/>
        </w:rPr>
        <w:t>assessment</w:t>
      </w:r>
      <w:r>
        <w:rPr>
          <w:spacing w:val="-6"/>
          <w:w w:val="115"/>
          <w:sz w:val="22"/>
        </w:rPr>
        <w:t> </w:t>
      </w:r>
      <w:r>
        <w:rPr>
          <w:w w:val="115"/>
          <w:sz w:val="22"/>
        </w:rPr>
        <w:t>envelope.</w:t>
      </w:r>
    </w:p>
    <w:p>
      <w:pPr>
        <w:pStyle w:val="BodyText"/>
      </w:pPr>
    </w:p>
    <w:p>
      <w:pPr>
        <w:pStyle w:val="BodyText"/>
        <w:ind w:left="392"/>
      </w:pPr>
      <w:r>
        <w:rPr>
          <w:w w:val="110"/>
        </w:rPr>
        <w:t>These procedures will minimise the possibility of your marking being challenged by candidates.</w:t>
      </w:r>
    </w:p>
    <w:p>
      <w:pPr>
        <w:pStyle w:val="BodyText"/>
        <w:spacing w:before="9"/>
        <w:rPr>
          <w:sz w:val="20"/>
        </w:rPr>
      </w:pPr>
    </w:p>
    <w:p>
      <w:pPr>
        <w:pStyle w:val="BodyText"/>
        <w:ind w:left="392" w:right="769"/>
      </w:pPr>
      <w:r>
        <w:rPr>
          <w:w w:val="105"/>
        </w:rPr>
        <w:t>If it becomes obvious that you will be unable to complete the marking of your allocated portfolios by the specified date, you must tell your panel leader</w:t>
      </w:r>
      <w:r>
        <w:rPr>
          <w:spacing w:val="2"/>
          <w:w w:val="105"/>
        </w:rPr>
        <w:t> </w:t>
      </w:r>
      <w:r>
        <w:rPr>
          <w:w w:val="105"/>
        </w:rPr>
        <w:t>immediately.</w:t>
      </w:r>
    </w:p>
    <w:p>
      <w:pPr>
        <w:pStyle w:val="BodyText"/>
        <w:spacing w:before="11"/>
        <w:rPr>
          <w:sz w:val="20"/>
        </w:rPr>
      </w:pPr>
    </w:p>
    <w:p>
      <w:pPr>
        <w:pStyle w:val="BodyText"/>
        <w:ind w:left="392" w:right="769"/>
      </w:pPr>
      <w:r>
        <w:rPr>
          <w:w w:val="110"/>
        </w:rPr>
        <w:t>Arrangements will need to be made to ensure that someone marks all portfolios before the final deadline.</w:t>
      </w:r>
    </w:p>
    <w:p>
      <w:pPr>
        <w:spacing w:after="0"/>
        <w:sectPr>
          <w:pgSz w:w="11910" w:h="16840"/>
          <w:pgMar w:header="0" w:footer="858" w:top="940" w:bottom="1060" w:left="740" w:right="580"/>
        </w:sectPr>
      </w:pPr>
    </w:p>
    <w:p>
      <w:pPr>
        <w:pStyle w:val="Heading3"/>
        <w:spacing w:before="63"/>
      </w:pPr>
      <w:bookmarkStart w:name="_TOC_250032" w:id="16"/>
      <w:bookmarkEnd w:id="16"/>
      <w:r>
        <w:rPr>
          <w:w w:val="120"/>
        </w:rPr>
        <w:t>Portfolio management</w:t>
      </w:r>
    </w:p>
    <w:p>
      <w:pPr>
        <w:pStyle w:val="BodyText"/>
        <w:spacing w:before="120"/>
        <w:ind w:left="392" w:right="480"/>
      </w:pPr>
      <w:r>
        <w:rPr>
          <w:w w:val="110"/>
        </w:rPr>
        <w:t>A large amount of candidate material will be sent to you for marking. It is important that you follow the procedure as set out below to ensure that materials are not mixed up and sent back incorrectly.</w:t>
      </w:r>
    </w:p>
    <w:p>
      <w:pPr>
        <w:pStyle w:val="ListParagraph"/>
        <w:numPr>
          <w:ilvl w:val="0"/>
          <w:numId w:val="2"/>
        </w:numPr>
        <w:tabs>
          <w:tab w:pos="749" w:val="left" w:leader="none"/>
          <w:tab w:pos="750" w:val="left" w:leader="none"/>
        </w:tabs>
        <w:spacing w:line="240" w:lineRule="auto" w:before="135" w:after="0"/>
        <w:ind w:left="749" w:right="0" w:hanging="357"/>
        <w:jc w:val="left"/>
        <w:rPr>
          <w:sz w:val="22"/>
        </w:rPr>
      </w:pPr>
      <w:r>
        <w:rPr>
          <w:w w:val="110"/>
          <w:sz w:val="22"/>
        </w:rPr>
        <w:t>Mark ONE portfolio (envelope) at a</w:t>
      </w:r>
      <w:r>
        <w:rPr>
          <w:spacing w:val="-8"/>
          <w:w w:val="110"/>
          <w:sz w:val="22"/>
        </w:rPr>
        <w:t> </w:t>
      </w:r>
      <w:r>
        <w:rPr>
          <w:w w:val="110"/>
          <w:sz w:val="22"/>
        </w:rPr>
        <w:t>time.</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w w:val="110"/>
          <w:sz w:val="22"/>
        </w:rPr>
        <w:t>Record the result onto the Answer Booklet Control Sheet.</w:t>
      </w:r>
    </w:p>
    <w:p>
      <w:pPr>
        <w:pStyle w:val="ListParagraph"/>
        <w:numPr>
          <w:ilvl w:val="0"/>
          <w:numId w:val="2"/>
        </w:numPr>
        <w:tabs>
          <w:tab w:pos="751" w:val="left" w:leader="none"/>
          <w:tab w:pos="752" w:val="left" w:leader="none"/>
        </w:tabs>
        <w:spacing w:line="240" w:lineRule="auto" w:before="136" w:after="0"/>
        <w:ind w:left="752" w:right="791" w:hanging="360"/>
        <w:jc w:val="left"/>
        <w:rPr>
          <w:sz w:val="22"/>
        </w:rPr>
      </w:pPr>
      <w:r>
        <w:rPr>
          <w:w w:val="110"/>
          <w:sz w:val="22"/>
        </w:rPr>
        <w:t>At the end of each days marking, enter the results online from the completed Answer</w:t>
      </w:r>
      <w:r>
        <w:rPr>
          <w:spacing w:val="-43"/>
          <w:w w:val="110"/>
          <w:sz w:val="22"/>
        </w:rPr>
        <w:t> </w:t>
      </w:r>
      <w:r>
        <w:rPr>
          <w:w w:val="110"/>
          <w:sz w:val="22"/>
        </w:rPr>
        <w:t>Booklet Control Sheet. Initial entry only until permission is given to enter</w:t>
      </w:r>
      <w:r>
        <w:rPr>
          <w:spacing w:val="-39"/>
          <w:w w:val="110"/>
          <w:sz w:val="22"/>
        </w:rPr>
        <w:t> </w:t>
      </w:r>
      <w:r>
        <w:rPr>
          <w:w w:val="110"/>
          <w:sz w:val="22"/>
        </w:rPr>
        <w:t>double.</w:t>
      </w:r>
    </w:p>
    <w:p>
      <w:pPr>
        <w:pStyle w:val="ListParagraph"/>
        <w:numPr>
          <w:ilvl w:val="0"/>
          <w:numId w:val="2"/>
        </w:numPr>
        <w:tabs>
          <w:tab w:pos="749" w:val="left" w:leader="none"/>
          <w:tab w:pos="750" w:val="left" w:leader="none"/>
        </w:tabs>
        <w:spacing w:line="240" w:lineRule="auto" w:before="135" w:after="0"/>
        <w:ind w:left="750" w:right="770" w:hanging="358"/>
        <w:jc w:val="left"/>
        <w:rPr>
          <w:sz w:val="22"/>
        </w:rPr>
      </w:pPr>
      <w:r>
        <w:rPr>
          <w:w w:val="110"/>
          <w:sz w:val="22"/>
        </w:rPr>
        <w:t>Check to ensure that the same result is on the assessment envelope and the Answer Booklet Control Sheet.</w:t>
      </w:r>
    </w:p>
    <w:p>
      <w:pPr>
        <w:pStyle w:val="ListParagraph"/>
        <w:numPr>
          <w:ilvl w:val="0"/>
          <w:numId w:val="2"/>
        </w:numPr>
        <w:tabs>
          <w:tab w:pos="749" w:val="left" w:leader="none"/>
          <w:tab w:pos="750" w:val="left" w:leader="none"/>
        </w:tabs>
        <w:spacing w:line="240" w:lineRule="auto" w:before="135" w:after="0"/>
        <w:ind w:left="749" w:right="0" w:hanging="357"/>
        <w:jc w:val="left"/>
        <w:rPr>
          <w:sz w:val="22"/>
        </w:rPr>
      </w:pPr>
      <w:r>
        <w:rPr>
          <w:w w:val="110"/>
          <w:sz w:val="22"/>
        </w:rPr>
        <w:t>Check the authenticity statement on the assessment envelope is</w:t>
      </w:r>
      <w:r>
        <w:rPr>
          <w:spacing w:val="34"/>
          <w:w w:val="110"/>
          <w:sz w:val="22"/>
        </w:rPr>
        <w:t> </w:t>
      </w:r>
      <w:r>
        <w:rPr>
          <w:w w:val="110"/>
          <w:sz w:val="22"/>
        </w:rPr>
        <w:t>signed.</w:t>
      </w:r>
    </w:p>
    <w:p>
      <w:pPr>
        <w:pStyle w:val="ListParagraph"/>
        <w:numPr>
          <w:ilvl w:val="0"/>
          <w:numId w:val="2"/>
        </w:numPr>
        <w:tabs>
          <w:tab w:pos="749" w:val="left" w:leader="none"/>
          <w:tab w:pos="750" w:val="left" w:leader="none"/>
        </w:tabs>
        <w:spacing w:line="240" w:lineRule="auto" w:before="133" w:after="0"/>
        <w:ind w:left="749" w:right="0" w:hanging="357"/>
        <w:jc w:val="left"/>
        <w:rPr>
          <w:sz w:val="22"/>
        </w:rPr>
      </w:pPr>
      <w:r>
        <w:rPr>
          <w:w w:val="105"/>
          <w:sz w:val="22"/>
        </w:rPr>
        <w:t>Complete authenticity statement check sheet (Appendix G), if</w:t>
      </w:r>
      <w:r>
        <w:rPr>
          <w:spacing w:val="6"/>
          <w:w w:val="105"/>
          <w:sz w:val="22"/>
        </w:rPr>
        <w:t> </w:t>
      </w:r>
      <w:r>
        <w:rPr>
          <w:w w:val="105"/>
          <w:sz w:val="22"/>
        </w:rPr>
        <w:t>required.</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w w:val="105"/>
          <w:sz w:val="22"/>
        </w:rPr>
        <w:t>Complete excess portfolio material form (Appendix H), if</w:t>
      </w:r>
      <w:r>
        <w:rPr>
          <w:spacing w:val="34"/>
          <w:w w:val="105"/>
          <w:sz w:val="22"/>
        </w:rPr>
        <w:t> </w:t>
      </w:r>
      <w:r>
        <w:rPr>
          <w:w w:val="105"/>
          <w:sz w:val="22"/>
        </w:rPr>
        <w:t>required.</w:t>
      </w:r>
    </w:p>
    <w:p>
      <w:pPr>
        <w:pStyle w:val="ListParagraph"/>
        <w:numPr>
          <w:ilvl w:val="0"/>
          <w:numId w:val="2"/>
        </w:numPr>
        <w:tabs>
          <w:tab w:pos="749" w:val="left" w:leader="none"/>
          <w:tab w:pos="750" w:val="left" w:leader="none"/>
        </w:tabs>
        <w:spacing w:line="240" w:lineRule="auto" w:before="133" w:after="0"/>
        <w:ind w:left="749" w:right="0" w:hanging="357"/>
        <w:jc w:val="left"/>
        <w:rPr>
          <w:sz w:val="22"/>
        </w:rPr>
      </w:pPr>
      <w:r>
        <w:rPr>
          <w:w w:val="110"/>
          <w:sz w:val="22"/>
        </w:rPr>
        <w:t>Place the portfolios back into the</w:t>
      </w:r>
      <w:r>
        <w:rPr>
          <w:spacing w:val="2"/>
          <w:w w:val="110"/>
          <w:sz w:val="22"/>
        </w:rPr>
        <w:t> </w:t>
      </w:r>
      <w:r>
        <w:rPr>
          <w:w w:val="110"/>
          <w:sz w:val="22"/>
        </w:rPr>
        <w:t>cartons.</w:t>
      </w:r>
    </w:p>
    <w:p>
      <w:pPr>
        <w:pStyle w:val="ListParagraph"/>
        <w:numPr>
          <w:ilvl w:val="0"/>
          <w:numId w:val="2"/>
        </w:numPr>
        <w:tabs>
          <w:tab w:pos="749" w:val="left" w:leader="none"/>
          <w:tab w:pos="750" w:val="left" w:leader="none"/>
        </w:tabs>
        <w:spacing w:line="240" w:lineRule="auto" w:before="136" w:after="0"/>
        <w:ind w:left="750" w:right="832" w:hanging="358"/>
        <w:jc w:val="left"/>
        <w:rPr>
          <w:sz w:val="22"/>
        </w:rPr>
      </w:pPr>
      <w:r>
        <w:rPr>
          <w:w w:val="110"/>
          <w:sz w:val="22"/>
        </w:rPr>
        <w:t>Place the return to Bluestar courier label over the original label and seal the carton. Only use the orange </w:t>
      </w:r>
      <w:r>
        <w:rPr>
          <w:spacing w:val="-2"/>
          <w:w w:val="110"/>
          <w:sz w:val="22"/>
        </w:rPr>
        <w:t>bag </w:t>
      </w:r>
      <w:r>
        <w:rPr>
          <w:w w:val="110"/>
          <w:sz w:val="22"/>
        </w:rPr>
        <w:t>if the carton is not reusable. Remove the Customer tab from the label and attach to the Answer Booklet Control</w:t>
      </w:r>
      <w:r>
        <w:rPr>
          <w:spacing w:val="-1"/>
          <w:w w:val="110"/>
          <w:sz w:val="22"/>
        </w:rPr>
        <w:t> </w:t>
      </w:r>
      <w:r>
        <w:rPr>
          <w:w w:val="110"/>
          <w:sz w:val="22"/>
        </w:rPr>
        <w:t>Sheet.</w:t>
      </w:r>
    </w:p>
    <w:p>
      <w:pPr>
        <w:pStyle w:val="ListParagraph"/>
        <w:numPr>
          <w:ilvl w:val="0"/>
          <w:numId w:val="2"/>
        </w:numPr>
        <w:tabs>
          <w:tab w:pos="749" w:val="left" w:leader="none"/>
          <w:tab w:pos="750" w:val="left" w:leader="none"/>
        </w:tabs>
        <w:spacing w:line="240" w:lineRule="auto" w:before="134" w:after="0"/>
        <w:ind w:left="750" w:right="648" w:hanging="358"/>
        <w:jc w:val="left"/>
        <w:rPr>
          <w:sz w:val="22"/>
        </w:rPr>
      </w:pPr>
      <w:r>
        <w:rPr>
          <w:w w:val="110"/>
          <w:sz w:val="22"/>
        </w:rPr>
        <w:t>Place the Answer Booklet Control Sheet into the pre-addressed signature-required courier bag (the same one that holds all the replacement/blank envelopes) provided and return to</w:t>
      </w:r>
      <w:r>
        <w:rPr>
          <w:spacing w:val="2"/>
          <w:w w:val="110"/>
          <w:sz w:val="22"/>
        </w:rPr>
        <w:t> </w:t>
      </w:r>
      <w:r>
        <w:rPr>
          <w:w w:val="110"/>
          <w:sz w:val="22"/>
        </w:rPr>
        <w:t>NZQA.</w:t>
      </w:r>
    </w:p>
    <w:p>
      <w:pPr>
        <w:pStyle w:val="BodyText"/>
        <w:spacing w:before="4"/>
        <w:rPr>
          <w:sz w:val="31"/>
        </w:rPr>
      </w:pPr>
    </w:p>
    <w:p>
      <w:pPr>
        <w:pStyle w:val="BodyText"/>
        <w:ind w:left="392"/>
      </w:pPr>
      <w:r>
        <w:rPr>
          <w:w w:val="110"/>
        </w:rPr>
        <w:t>What do I do if:</w:t>
      </w:r>
    </w:p>
    <w:p>
      <w:pPr>
        <w:pStyle w:val="ListParagraph"/>
        <w:numPr>
          <w:ilvl w:val="0"/>
          <w:numId w:val="2"/>
        </w:numPr>
        <w:tabs>
          <w:tab w:pos="749" w:val="left" w:leader="none"/>
          <w:tab w:pos="750" w:val="left" w:leader="none"/>
        </w:tabs>
        <w:spacing w:line="240" w:lineRule="auto" w:before="136" w:after="0"/>
        <w:ind w:left="750" w:right="929" w:hanging="358"/>
        <w:jc w:val="left"/>
        <w:rPr>
          <w:sz w:val="22"/>
        </w:rPr>
      </w:pPr>
      <w:r>
        <w:rPr>
          <w:w w:val="110"/>
          <w:sz w:val="22"/>
        </w:rPr>
        <w:t>an envelope contains more than one standard in it for the same level, e.g. L1 Working (2-D) drawings is underneath the L1 Freehand sketching</w:t>
      </w:r>
      <w:r>
        <w:rPr>
          <w:spacing w:val="13"/>
          <w:w w:val="110"/>
          <w:sz w:val="22"/>
        </w:rPr>
        <w:t> </w:t>
      </w:r>
      <w:r>
        <w:rPr>
          <w:w w:val="110"/>
          <w:sz w:val="22"/>
        </w:rPr>
        <w:t>pages.</w:t>
      </w:r>
    </w:p>
    <w:p>
      <w:pPr>
        <w:pStyle w:val="ListParagraph"/>
        <w:numPr>
          <w:ilvl w:val="1"/>
          <w:numId w:val="2"/>
        </w:numPr>
        <w:tabs>
          <w:tab w:pos="1469" w:val="left" w:leader="none"/>
          <w:tab w:pos="1471" w:val="left" w:leader="none"/>
        </w:tabs>
        <w:spacing w:line="240" w:lineRule="auto" w:before="118" w:after="0"/>
        <w:ind w:left="1470" w:right="0" w:hanging="358"/>
        <w:jc w:val="left"/>
        <w:rPr>
          <w:sz w:val="22"/>
        </w:rPr>
      </w:pPr>
      <w:r>
        <w:rPr>
          <w:w w:val="110"/>
          <w:sz w:val="22"/>
        </w:rPr>
        <w:t>Mark your standard as per the instructions</w:t>
      </w:r>
      <w:r>
        <w:rPr>
          <w:spacing w:val="5"/>
          <w:w w:val="110"/>
          <w:sz w:val="22"/>
        </w:rPr>
        <w:t> </w:t>
      </w:r>
      <w:r>
        <w:rPr>
          <w:w w:val="110"/>
          <w:sz w:val="22"/>
        </w:rPr>
        <w:t>above.</w:t>
      </w:r>
    </w:p>
    <w:p>
      <w:pPr>
        <w:pStyle w:val="ListParagraph"/>
        <w:numPr>
          <w:ilvl w:val="1"/>
          <w:numId w:val="2"/>
        </w:numPr>
        <w:tabs>
          <w:tab w:pos="1469" w:val="left" w:leader="none"/>
          <w:tab w:pos="1471" w:val="left" w:leader="none"/>
        </w:tabs>
        <w:spacing w:line="240" w:lineRule="auto" w:before="119" w:after="0"/>
        <w:ind w:left="1470" w:right="563" w:hanging="358"/>
        <w:jc w:val="left"/>
        <w:rPr>
          <w:sz w:val="22"/>
        </w:rPr>
      </w:pPr>
      <w:r>
        <w:rPr>
          <w:w w:val="110"/>
          <w:sz w:val="22"/>
        </w:rPr>
        <w:t>Place the other standard into a clear plastic </w:t>
      </w:r>
      <w:r>
        <w:rPr>
          <w:spacing w:val="-2"/>
          <w:w w:val="110"/>
          <w:sz w:val="22"/>
        </w:rPr>
        <w:t>bag and </w:t>
      </w:r>
      <w:r>
        <w:rPr>
          <w:w w:val="110"/>
          <w:sz w:val="22"/>
        </w:rPr>
        <w:t>send to NZQA in an orange courier bag.</w:t>
      </w:r>
    </w:p>
    <w:p>
      <w:pPr>
        <w:pStyle w:val="BodyText"/>
        <w:spacing w:before="5"/>
        <w:rPr>
          <w:sz w:val="31"/>
        </w:rPr>
      </w:pPr>
    </w:p>
    <w:p>
      <w:pPr>
        <w:pStyle w:val="Heading3"/>
      </w:pPr>
      <w:bookmarkStart w:name="_TOC_250031" w:id="17"/>
      <w:bookmarkEnd w:id="17"/>
      <w:r>
        <w:rPr>
          <w:w w:val="120"/>
        </w:rPr>
        <w:t>Test marking</w:t>
      </w:r>
    </w:p>
    <w:p>
      <w:pPr>
        <w:pStyle w:val="BodyText"/>
        <w:spacing w:before="120"/>
        <w:ind w:left="392" w:right="769"/>
      </w:pPr>
      <w:r>
        <w:rPr>
          <w:w w:val="105"/>
        </w:rPr>
        <w:t>The first 30 portfolios marked and entered (initial entry only) will be Test Marking. You should not proceed with marking until clearance is given by the panel leader. Test marking starts immediately after the panel meeting and follows the marker timeline. (See Appendix A) Test Marking gives the panel leader and NAF an indication of how the results will pan out.</w:t>
      </w:r>
    </w:p>
    <w:p>
      <w:pPr>
        <w:pStyle w:val="BodyText"/>
        <w:spacing w:before="5"/>
        <w:rPr>
          <w:sz w:val="31"/>
        </w:rPr>
      </w:pPr>
    </w:p>
    <w:p>
      <w:pPr>
        <w:pStyle w:val="Heading3"/>
      </w:pPr>
      <w:bookmarkStart w:name="_TOC_250030" w:id="18"/>
      <w:bookmarkEnd w:id="18"/>
      <w:r>
        <w:rPr>
          <w:w w:val="115"/>
        </w:rPr>
        <w:t>Check marking</w:t>
      </w:r>
    </w:p>
    <w:p>
      <w:pPr>
        <w:pStyle w:val="BodyText"/>
        <w:spacing w:before="118"/>
        <w:ind w:left="392"/>
      </w:pPr>
      <w:r>
        <w:rPr>
          <w:w w:val="110"/>
        </w:rPr>
        <w:t>Check marking is the process that ensures consistent marking.</w:t>
      </w:r>
    </w:p>
    <w:p>
      <w:pPr>
        <w:pStyle w:val="BodyText"/>
        <w:spacing w:before="9"/>
        <w:rPr>
          <w:sz w:val="20"/>
        </w:rPr>
      </w:pPr>
    </w:p>
    <w:p>
      <w:pPr>
        <w:pStyle w:val="BodyText"/>
        <w:ind w:left="392" w:right="769"/>
      </w:pPr>
      <w:r>
        <w:rPr>
          <w:w w:val="110"/>
        </w:rPr>
        <w:t>Your panel leader will explain the check marking procedures and provide the marking and check marking timeline at the panel meeting.</w:t>
      </w:r>
    </w:p>
    <w:p>
      <w:pPr>
        <w:pStyle w:val="BodyText"/>
        <w:spacing w:before="10"/>
        <w:rPr>
          <w:sz w:val="20"/>
        </w:rPr>
      </w:pPr>
    </w:p>
    <w:p>
      <w:pPr>
        <w:pStyle w:val="BodyText"/>
        <w:ind w:left="392" w:right="769"/>
      </w:pPr>
      <w:r>
        <w:rPr>
          <w:w w:val="110"/>
        </w:rPr>
        <w:t>All markers, including panel leaders, are required to submit a percentage of portfolios for check marking.</w:t>
      </w:r>
    </w:p>
    <w:p>
      <w:pPr>
        <w:pStyle w:val="BodyText"/>
        <w:spacing w:before="11"/>
        <w:rPr>
          <w:sz w:val="20"/>
        </w:rPr>
      </w:pPr>
    </w:p>
    <w:p>
      <w:pPr>
        <w:pStyle w:val="BodyText"/>
        <w:ind w:left="392" w:right="769"/>
      </w:pPr>
      <w:r>
        <w:rPr>
          <w:w w:val="105"/>
        </w:rPr>
        <w:t>After sending portfolios for check marking, continue marking; do not enter any further results until you receive your check marking feedback.</w:t>
      </w:r>
    </w:p>
    <w:p>
      <w:pPr>
        <w:pStyle w:val="BodyText"/>
        <w:spacing w:before="10"/>
        <w:rPr>
          <w:sz w:val="20"/>
        </w:rPr>
      </w:pPr>
    </w:p>
    <w:p>
      <w:pPr>
        <w:pStyle w:val="BodyText"/>
        <w:ind w:left="392" w:right="575"/>
      </w:pPr>
      <w:r>
        <w:rPr>
          <w:w w:val="110"/>
        </w:rPr>
        <w:t>Feedback from your panel leader or check marker may require you to go back over earlier marking and make changes to portfolios already marked. This must be done to ensure you are marking to the same standard as the other members on the panel. This is a normal part of marking. If check marking changes a result, you must change the online result. If you do not do this, the result on</w:t>
      </w:r>
      <w:r>
        <w:rPr>
          <w:spacing w:val="33"/>
          <w:w w:val="110"/>
        </w:rPr>
        <w:t> </w:t>
      </w:r>
      <w:r>
        <w:rPr>
          <w:w w:val="110"/>
        </w:rPr>
        <w:t>the</w:t>
      </w:r>
    </w:p>
    <w:p>
      <w:pPr>
        <w:spacing w:after="0"/>
        <w:sectPr>
          <w:pgSz w:w="11910" w:h="16840"/>
          <w:pgMar w:header="0" w:footer="858" w:top="940" w:bottom="1060" w:left="740" w:right="580"/>
        </w:sectPr>
      </w:pPr>
    </w:p>
    <w:p>
      <w:pPr>
        <w:pStyle w:val="BodyText"/>
        <w:spacing w:before="62"/>
        <w:ind w:left="392" w:right="709"/>
      </w:pPr>
      <w:r>
        <w:rPr>
          <w:w w:val="110"/>
        </w:rPr>
        <w:t>envelope will be different to the results on the candidate’s result page. You must confirm with the panel leader or check marker that this has been done.</w:t>
      </w:r>
    </w:p>
    <w:p>
      <w:pPr>
        <w:pStyle w:val="BodyText"/>
        <w:spacing w:before="11"/>
        <w:rPr>
          <w:sz w:val="20"/>
        </w:rPr>
      </w:pPr>
    </w:p>
    <w:p>
      <w:pPr>
        <w:pStyle w:val="BodyText"/>
        <w:ind w:left="392"/>
      </w:pPr>
      <w:r>
        <w:rPr>
          <w:w w:val="105"/>
        </w:rPr>
        <w:t>ALL CHECK MARKING IS COURIERED IN THE </w:t>
      </w:r>
      <w:r>
        <w:rPr>
          <w:color w:val="00AFEF"/>
          <w:w w:val="105"/>
        </w:rPr>
        <w:t>BLUE </w:t>
      </w:r>
      <w:r>
        <w:rPr>
          <w:w w:val="105"/>
        </w:rPr>
        <w:t>COURIER BAGS PROVIDED</w:t>
      </w:r>
    </w:p>
    <w:p>
      <w:pPr>
        <w:pStyle w:val="BodyText"/>
        <w:rPr>
          <w:sz w:val="21"/>
        </w:rPr>
      </w:pPr>
    </w:p>
    <w:p>
      <w:pPr>
        <w:pStyle w:val="BodyText"/>
        <w:ind w:left="392"/>
      </w:pPr>
      <w:r>
        <w:rPr>
          <w:w w:val="120"/>
        </w:rPr>
        <w:t>Preparing for check marking:</w:t>
      </w:r>
    </w:p>
    <w:p>
      <w:pPr>
        <w:pStyle w:val="ListParagraph"/>
        <w:numPr>
          <w:ilvl w:val="0"/>
          <w:numId w:val="2"/>
        </w:numPr>
        <w:tabs>
          <w:tab w:pos="749" w:val="left" w:leader="none"/>
          <w:tab w:pos="750" w:val="left" w:leader="none"/>
        </w:tabs>
        <w:spacing w:line="240" w:lineRule="auto" w:before="133" w:after="0"/>
        <w:ind w:left="749" w:right="0" w:hanging="357"/>
        <w:jc w:val="left"/>
        <w:rPr>
          <w:sz w:val="22"/>
        </w:rPr>
      </w:pPr>
      <w:r>
        <w:rPr>
          <w:w w:val="115"/>
          <w:sz w:val="22"/>
        </w:rPr>
        <w:t>ensure the work has been marked and the assessment envelope has been</w:t>
      </w:r>
      <w:r>
        <w:rPr>
          <w:spacing w:val="-37"/>
          <w:w w:val="115"/>
          <w:sz w:val="22"/>
        </w:rPr>
        <w:t> </w:t>
      </w:r>
      <w:r>
        <w:rPr>
          <w:w w:val="115"/>
          <w:sz w:val="22"/>
        </w:rPr>
        <w:t>completed</w:t>
      </w:r>
    </w:p>
    <w:p>
      <w:pPr>
        <w:pStyle w:val="ListParagraph"/>
        <w:numPr>
          <w:ilvl w:val="0"/>
          <w:numId w:val="2"/>
        </w:numPr>
        <w:tabs>
          <w:tab w:pos="749" w:val="left" w:leader="none"/>
          <w:tab w:pos="750" w:val="left" w:leader="none"/>
        </w:tabs>
        <w:spacing w:line="240" w:lineRule="auto" w:before="136" w:after="0"/>
        <w:ind w:left="750" w:right="965" w:hanging="358"/>
        <w:jc w:val="left"/>
        <w:rPr>
          <w:sz w:val="22"/>
        </w:rPr>
      </w:pPr>
      <w:r>
        <w:rPr>
          <w:w w:val="110"/>
          <w:sz w:val="22"/>
        </w:rPr>
        <w:t>ensure the result is entered on your Marking Pages, as initial entry only, do NOT complete double</w:t>
      </w:r>
      <w:r>
        <w:rPr>
          <w:spacing w:val="4"/>
          <w:w w:val="110"/>
          <w:sz w:val="22"/>
        </w:rPr>
        <w:t> </w:t>
      </w:r>
      <w:r>
        <w:rPr>
          <w:w w:val="110"/>
          <w:sz w:val="22"/>
        </w:rPr>
        <w:t>entry</w:t>
      </w:r>
    </w:p>
    <w:p>
      <w:pPr>
        <w:pStyle w:val="ListParagraph"/>
        <w:numPr>
          <w:ilvl w:val="0"/>
          <w:numId w:val="2"/>
        </w:numPr>
        <w:tabs>
          <w:tab w:pos="749" w:val="left" w:leader="none"/>
          <w:tab w:pos="750" w:val="left" w:leader="none"/>
        </w:tabs>
        <w:spacing w:line="240" w:lineRule="auto" w:before="135" w:after="0"/>
        <w:ind w:left="750" w:right="918" w:hanging="358"/>
        <w:jc w:val="left"/>
        <w:rPr>
          <w:sz w:val="22"/>
        </w:rPr>
      </w:pPr>
      <w:r>
        <w:rPr>
          <w:w w:val="110"/>
          <w:sz w:val="22"/>
        </w:rPr>
        <w:t>use</w:t>
      </w:r>
      <w:r>
        <w:rPr>
          <w:spacing w:val="-3"/>
          <w:w w:val="110"/>
          <w:sz w:val="22"/>
        </w:rPr>
        <w:t> </w:t>
      </w:r>
      <w:r>
        <w:rPr>
          <w:w w:val="110"/>
          <w:sz w:val="22"/>
        </w:rPr>
        <w:t>the</w:t>
      </w:r>
      <w:r>
        <w:rPr>
          <w:spacing w:val="-4"/>
          <w:w w:val="110"/>
          <w:sz w:val="22"/>
        </w:rPr>
        <w:t> </w:t>
      </w:r>
      <w:r>
        <w:rPr>
          <w:w w:val="110"/>
          <w:sz w:val="22"/>
        </w:rPr>
        <w:t>Portfolios</w:t>
      </w:r>
      <w:r>
        <w:rPr>
          <w:spacing w:val="1"/>
          <w:w w:val="110"/>
          <w:sz w:val="22"/>
        </w:rPr>
        <w:t> </w:t>
      </w:r>
      <w:r>
        <w:rPr>
          <w:w w:val="110"/>
          <w:sz w:val="22"/>
        </w:rPr>
        <w:t>Sent</w:t>
      </w:r>
      <w:r>
        <w:rPr>
          <w:spacing w:val="-4"/>
          <w:w w:val="110"/>
          <w:sz w:val="22"/>
        </w:rPr>
        <w:t> </w:t>
      </w:r>
      <w:r>
        <w:rPr>
          <w:w w:val="110"/>
          <w:sz w:val="22"/>
        </w:rPr>
        <w:t>for</w:t>
      </w:r>
      <w:r>
        <w:rPr>
          <w:spacing w:val="-2"/>
          <w:w w:val="110"/>
          <w:sz w:val="22"/>
        </w:rPr>
        <w:t> </w:t>
      </w:r>
      <w:r>
        <w:rPr>
          <w:w w:val="110"/>
          <w:sz w:val="22"/>
        </w:rPr>
        <w:t>Check</w:t>
      </w:r>
      <w:r>
        <w:rPr>
          <w:spacing w:val="-4"/>
          <w:w w:val="110"/>
          <w:sz w:val="22"/>
        </w:rPr>
        <w:t> </w:t>
      </w:r>
      <w:r>
        <w:rPr>
          <w:w w:val="110"/>
          <w:sz w:val="22"/>
        </w:rPr>
        <w:t>Marking</w:t>
      </w:r>
      <w:r>
        <w:rPr>
          <w:spacing w:val="-1"/>
          <w:w w:val="110"/>
          <w:sz w:val="22"/>
        </w:rPr>
        <w:t> </w:t>
      </w:r>
      <w:r>
        <w:rPr>
          <w:w w:val="110"/>
          <w:sz w:val="22"/>
        </w:rPr>
        <w:t>Form</w:t>
      </w:r>
      <w:r>
        <w:rPr>
          <w:spacing w:val="-5"/>
          <w:w w:val="110"/>
          <w:sz w:val="22"/>
        </w:rPr>
        <w:t> </w:t>
      </w:r>
      <w:r>
        <w:rPr>
          <w:w w:val="110"/>
          <w:sz w:val="22"/>
        </w:rPr>
        <w:t>(See</w:t>
      </w:r>
      <w:r>
        <w:rPr>
          <w:spacing w:val="-1"/>
          <w:w w:val="110"/>
          <w:sz w:val="22"/>
        </w:rPr>
        <w:t> </w:t>
      </w:r>
      <w:r>
        <w:rPr>
          <w:w w:val="110"/>
          <w:sz w:val="22"/>
        </w:rPr>
        <w:t>Appendix</w:t>
      </w:r>
      <w:r>
        <w:rPr>
          <w:spacing w:val="-4"/>
          <w:w w:val="110"/>
          <w:sz w:val="22"/>
        </w:rPr>
        <w:t> </w:t>
      </w:r>
      <w:r>
        <w:rPr>
          <w:w w:val="110"/>
          <w:sz w:val="22"/>
        </w:rPr>
        <w:t>B)</w:t>
      </w:r>
      <w:r>
        <w:rPr>
          <w:spacing w:val="-2"/>
          <w:w w:val="110"/>
          <w:sz w:val="22"/>
        </w:rPr>
        <w:t> </w:t>
      </w:r>
      <w:r>
        <w:rPr>
          <w:w w:val="110"/>
          <w:sz w:val="22"/>
        </w:rPr>
        <w:t>to</w:t>
      </w:r>
      <w:r>
        <w:rPr>
          <w:spacing w:val="-7"/>
          <w:w w:val="110"/>
          <w:sz w:val="22"/>
        </w:rPr>
        <w:t> </w:t>
      </w:r>
      <w:r>
        <w:rPr>
          <w:w w:val="110"/>
          <w:sz w:val="22"/>
        </w:rPr>
        <w:t>keep</w:t>
      </w:r>
      <w:r>
        <w:rPr>
          <w:spacing w:val="-3"/>
          <w:w w:val="110"/>
          <w:sz w:val="22"/>
        </w:rPr>
        <w:t> </w:t>
      </w:r>
      <w:r>
        <w:rPr>
          <w:w w:val="110"/>
          <w:sz w:val="22"/>
        </w:rPr>
        <w:t>a</w:t>
      </w:r>
      <w:r>
        <w:rPr>
          <w:spacing w:val="-5"/>
          <w:w w:val="110"/>
          <w:sz w:val="22"/>
        </w:rPr>
        <w:t> </w:t>
      </w:r>
      <w:r>
        <w:rPr>
          <w:w w:val="110"/>
          <w:sz w:val="22"/>
        </w:rPr>
        <w:t>record</w:t>
      </w:r>
      <w:r>
        <w:rPr>
          <w:spacing w:val="-3"/>
          <w:w w:val="110"/>
          <w:sz w:val="22"/>
        </w:rPr>
        <w:t> </w:t>
      </w:r>
      <w:r>
        <w:rPr>
          <w:w w:val="110"/>
          <w:sz w:val="22"/>
        </w:rPr>
        <w:t>of</w:t>
      </w:r>
      <w:r>
        <w:rPr>
          <w:spacing w:val="1"/>
          <w:w w:val="110"/>
          <w:sz w:val="22"/>
        </w:rPr>
        <w:t> </w:t>
      </w:r>
      <w:r>
        <w:rPr>
          <w:w w:val="110"/>
          <w:sz w:val="22"/>
        </w:rPr>
        <w:t>those portfolios sent for check</w:t>
      </w:r>
      <w:r>
        <w:rPr>
          <w:spacing w:val="-4"/>
          <w:w w:val="110"/>
          <w:sz w:val="22"/>
        </w:rPr>
        <w:t> </w:t>
      </w:r>
      <w:r>
        <w:rPr>
          <w:w w:val="110"/>
          <w:sz w:val="22"/>
        </w:rPr>
        <w:t>marking</w:t>
      </w:r>
    </w:p>
    <w:p>
      <w:pPr>
        <w:pStyle w:val="ListParagraph"/>
        <w:numPr>
          <w:ilvl w:val="0"/>
          <w:numId w:val="2"/>
        </w:numPr>
        <w:tabs>
          <w:tab w:pos="749" w:val="left" w:leader="none"/>
          <w:tab w:pos="750" w:val="left" w:leader="none"/>
        </w:tabs>
        <w:spacing w:line="240" w:lineRule="auto" w:before="135" w:after="0"/>
        <w:ind w:left="750" w:right="1038" w:hanging="358"/>
        <w:jc w:val="left"/>
        <w:rPr>
          <w:sz w:val="22"/>
        </w:rPr>
      </w:pPr>
      <w:r>
        <w:rPr>
          <w:w w:val="110"/>
          <w:sz w:val="22"/>
        </w:rPr>
        <w:t>double check you have entered the correct grade on the Portfolios Sent for Check Marking Form (See Appendix</w:t>
      </w:r>
      <w:r>
        <w:rPr>
          <w:spacing w:val="-4"/>
          <w:w w:val="110"/>
          <w:sz w:val="22"/>
        </w:rPr>
        <w:t> </w:t>
      </w:r>
      <w:r>
        <w:rPr>
          <w:w w:val="110"/>
          <w:sz w:val="22"/>
        </w:rPr>
        <w:t>B)</w:t>
      </w:r>
    </w:p>
    <w:p>
      <w:pPr>
        <w:pStyle w:val="ListParagraph"/>
        <w:numPr>
          <w:ilvl w:val="0"/>
          <w:numId w:val="2"/>
        </w:numPr>
        <w:tabs>
          <w:tab w:pos="749" w:val="left" w:leader="none"/>
          <w:tab w:pos="750" w:val="left" w:leader="none"/>
        </w:tabs>
        <w:spacing w:line="240" w:lineRule="auto" w:before="134" w:after="0"/>
        <w:ind w:left="750" w:right="908" w:hanging="358"/>
        <w:jc w:val="left"/>
        <w:rPr>
          <w:sz w:val="22"/>
        </w:rPr>
      </w:pPr>
      <w:r>
        <w:rPr>
          <w:w w:val="110"/>
          <w:sz w:val="22"/>
        </w:rPr>
        <w:t>write</w:t>
      </w:r>
      <w:r>
        <w:rPr>
          <w:spacing w:val="-5"/>
          <w:w w:val="110"/>
          <w:sz w:val="22"/>
        </w:rPr>
        <w:t> </w:t>
      </w:r>
      <w:r>
        <w:rPr>
          <w:w w:val="110"/>
          <w:sz w:val="22"/>
        </w:rPr>
        <w:t>your</w:t>
      </w:r>
      <w:r>
        <w:rPr>
          <w:spacing w:val="-2"/>
          <w:w w:val="110"/>
          <w:sz w:val="22"/>
        </w:rPr>
        <w:t> </w:t>
      </w:r>
      <w:r>
        <w:rPr>
          <w:w w:val="110"/>
          <w:sz w:val="22"/>
        </w:rPr>
        <w:t>name</w:t>
      </w:r>
      <w:r>
        <w:rPr>
          <w:spacing w:val="-5"/>
          <w:w w:val="110"/>
          <w:sz w:val="22"/>
        </w:rPr>
        <w:t> </w:t>
      </w:r>
      <w:r>
        <w:rPr>
          <w:w w:val="110"/>
          <w:sz w:val="22"/>
        </w:rPr>
        <w:t>on</w:t>
      </w:r>
      <w:r>
        <w:rPr>
          <w:spacing w:val="-4"/>
          <w:w w:val="110"/>
          <w:sz w:val="22"/>
        </w:rPr>
        <w:t> </w:t>
      </w:r>
      <w:r>
        <w:rPr>
          <w:w w:val="110"/>
          <w:sz w:val="22"/>
        </w:rPr>
        <w:t>a</w:t>
      </w:r>
      <w:r>
        <w:rPr>
          <w:spacing w:val="-5"/>
          <w:w w:val="110"/>
          <w:sz w:val="22"/>
        </w:rPr>
        <w:t> </w:t>
      </w:r>
      <w:r>
        <w:rPr>
          <w:w w:val="110"/>
          <w:sz w:val="22"/>
        </w:rPr>
        <w:t>post-it</w:t>
      </w:r>
      <w:r>
        <w:rPr>
          <w:spacing w:val="-5"/>
          <w:w w:val="110"/>
          <w:sz w:val="22"/>
        </w:rPr>
        <w:t> </w:t>
      </w:r>
      <w:r>
        <w:rPr>
          <w:w w:val="110"/>
          <w:sz w:val="22"/>
        </w:rPr>
        <w:t>or</w:t>
      </w:r>
      <w:r>
        <w:rPr>
          <w:spacing w:val="-4"/>
          <w:w w:val="110"/>
          <w:sz w:val="22"/>
        </w:rPr>
        <w:t> </w:t>
      </w:r>
      <w:r>
        <w:rPr>
          <w:w w:val="110"/>
          <w:sz w:val="22"/>
        </w:rPr>
        <w:t>blank</w:t>
      </w:r>
      <w:r>
        <w:rPr>
          <w:spacing w:val="1"/>
          <w:w w:val="110"/>
          <w:sz w:val="22"/>
        </w:rPr>
        <w:t> </w:t>
      </w:r>
      <w:r>
        <w:rPr>
          <w:w w:val="110"/>
          <w:sz w:val="22"/>
        </w:rPr>
        <w:t>piece</w:t>
      </w:r>
      <w:r>
        <w:rPr>
          <w:spacing w:val="-5"/>
          <w:w w:val="110"/>
          <w:sz w:val="22"/>
        </w:rPr>
        <w:t> </w:t>
      </w:r>
      <w:r>
        <w:rPr>
          <w:w w:val="110"/>
          <w:sz w:val="22"/>
        </w:rPr>
        <w:t>of</w:t>
      </w:r>
      <w:r>
        <w:rPr>
          <w:spacing w:val="-3"/>
          <w:w w:val="110"/>
          <w:sz w:val="22"/>
        </w:rPr>
        <w:t> </w:t>
      </w:r>
      <w:r>
        <w:rPr>
          <w:w w:val="110"/>
          <w:sz w:val="22"/>
        </w:rPr>
        <w:t>paper</w:t>
      </w:r>
      <w:r>
        <w:rPr>
          <w:spacing w:val="-2"/>
          <w:w w:val="110"/>
          <w:sz w:val="22"/>
        </w:rPr>
        <w:t> </w:t>
      </w:r>
      <w:r>
        <w:rPr>
          <w:w w:val="110"/>
          <w:sz w:val="22"/>
        </w:rPr>
        <w:t>and</w:t>
      </w:r>
      <w:r>
        <w:rPr>
          <w:spacing w:val="-5"/>
          <w:w w:val="110"/>
          <w:sz w:val="22"/>
        </w:rPr>
        <w:t> </w:t>
      </w:r>
      <w:r>
        <w:rPr>
          <w:w w:val="110"/>
          <w:sz w:val="22"/>
        </w:rPr>
        <w:t>attach</w:t>
      </w:r>
      <w:r>
        <w:rPr>
          <w:spacing w:val="-4"/>
          <w:w w:val="110"/>
          <w:sz w:val="22"/>
        </w:rPr>
        <w:t> </w:t>
      </w:r>
      <w:r>
        <w:rPr>
          <w:w w:val="110"/>
          <w:sz w:val="22"/>
        </w:rPr>
        <w:t>it</w:t>
      </w:r>
      <w:r>
        <w:rPr>
          <w:spacing w:val="-3"/>
          <w:w w:val="110"/>
          <w:sz w:val="22"/>
        </w:rPr>
        <w:t> </w:t>
      </w:r>
      <w:r>
        <w:rPr>
          <w:w w:val="110"/>
          <w:sz w:val="22"/>
        </w:rPr>
        <w:t>to</w:t>
      </w:r>
      <w:r>
        <w:rPr>
          <w:spacing w:val="-4"/>
          <w:w w:val="110"/>
          <w:sz w:val="22"/>
        </w:rPr>
        <w:t> </w:t>
      </w:r>
      <w:r>
        <w:rPr>
          <w:w w:val="110"/>
          <w:sz w:val="22"/>
        </w:rPr>
        <w:t>one</w:t>
      </w:r>
      <w:r>
        <w:rPr>
          <w:spacing w:val="-4"/>
          <w:w w:val="110"/>
          <w:sz w:val="22"/>
        </w:rPr>
        <w:t> </w:t>
      </w:r>
      <w:r>
        <w:rPr>
          <w:w w:val="110"/>
          <w:sz w:val="22"/>
        </w:rPr>
        <w:t>of</w:t>
      </w:r>
      <w:r>
        <w:rPr>
          <w:spacing w:val="-5"/>
          <w:w w:val="110"/>
          <w:sz w:val="22"/>
        </w:rPr>
        <w:t> </w:t>
      </w:r>
      <w:r>
        <w:rPr>
          <w:w w:val="110"/>
          <w:sz w:val="22"/>
        </w:rPr>
        <w:t>the</w:t>
      </w:r>
      <w:r>
        <w:rPr>
          <w:spacing w:val="-1"/>
          <w:w w:val="110"/>
          <w:sz w:val="22"/>
        </w:rPr>
        <w:t> </w:t>
      </w:r>
      <w:r>
        <w:rPr>
          <w:w w:val="110"/>
          <w:sz w:val="22"/>
        </w:rPr>
        <w:t>portfolios</w:t>
      </w:r>
      <w:r>
        <w:rPr>
          <w:spacing w:val="-3"/>
          <w:w w:val="110"/>
          <w:sz w:val="22"/>
        </w:rPr>
        <w:t> </w:t>
      </w:r>
      <w:r>
        <w:rPr>
          <w:w w:val="110"/>
          <w:sz w:val="22"/>
        </w:rPr>
        <w:t>you are going to</w:t>
      </w:r>
      <w:r>
        <w:rPr>
          <w:spacing w:val="3"/>
          <w:w w:val="110"/>
          <w:sz w:val="22"/>
        </w:rPr>
        <w:t> </w:t>
      </w:r>
      <w:r>
        <w:rPr>
          <w:w w:val="110"/>
          <w:sz w:val="22"/>
        </w:rPr>
        <w:t>send</w:t>
      </w:r>
    </w:p>
    <w:p>
      <w:pPr>
        <w:pStyle w:val="ListParagraph"/>
        <w:numPr>
          <w:ilvl w:val="0"/>
          <w:numId w:val="2"/>
        </w:numPr>
        <w:tabs>
          <w:tab w:pos="749" w:val="left" w:leader="none"/>
          <w:tab w:pos="750" w:val="left" w:leader="none"/>
        </w:tabs>
        <w:spacing w:line="240" w:lineRule="auto" w:before="135" w:after="0"/>
        <w:ind w:left="750" w:right="673" w:hanging="358"/>
        <w:jc w:val="left"/>
        <w:rPr>
          <w:sz w:val="22"/>
        </w:rPr>
      </w:pPr>
      <w:r>
        <w:rPr>
          <w:w w:val="105"/>
          <w:sz w:val="22"/>
        </w:rPr>
        <w:t>attach a CourierPost label (provided) to the </w:t>
      </w:r>
      <w:r>
        <w:rPr>
          <w:color w:val="00AFEF"/>
          <w:w w:val="105"/>
          <w:sz w:val="22"/>
        </w:rPr>
        <w:t>blue </w:t>
      </w:r>
      <w:r>
        <w:rPr>
          <w:w w:val="105"/>
          <w:sz w:val="22"/>
        </w:rPr>
        <w:t>courier bag and fill it with candidate portfolios (remember the maximum weight restriction of 7</w:t>
      </w:r>
      <w:r>
        <w:rPr>
          <w:spacing w:val="34"/>
          <w:w w:val="105"/>
          <w:sz w:val="22"/>
        </w:rPr>
        <w:t> </w:t>
      </w:r>
      <w:r>
        <w:rPr>
          <w:w w:val="105"/>
          <w:sz w:val="22"/>
        </w:rPr>
        <w:t>kg)</w:t>
      </w:r>
    </w:p>
    <w:p>
      <w:pPr>
        <w:pStyle w:val="ListParagraph"/>
        <w:numPr>
          <w:ilvl w:val="0"/>
          <w:numId w:val="2"/>
        </w:numPr>
        <w:tabs>
          <w:tab w:pos="749" w:val="left" w:leader="none"/>
          <w:tab w:pos="750" w:val="left" w:leader="none"/>
        </w:tabs>
        <w:spacing w:line="240" w:lineRule="auto" w:before="138" w:after="0"/>
        <w:ind w:left="749" w:right="0" w:hanging="357"/>
        <w:jc w:val="left"/>
        <w:rPr>
          <w:sz w:val="22"/>
        </w:rPr>
      </w:pPr>
      <w:r>
        <w:rPr>
          <w:w w:val="110"/>
          <w:sz w:val="22"/>
        </w:rPr>
        <w:t>address the </w:t>
      </w:r>
      <w:r>
        <w:rPr>
          <w:spacing w:val="-2"/>
          <w:w w:val="110"/>
          <w:sz w:val="22"/>
        </w:rPr>
        <w:t>bag </w:t>
      </w:r>
      <w:r>
        <w:rPr>
          <w:w w:val="110"/>
          <w:sz w:val="22"/>
        </w:rPr>
        <w:t>to your check marker – you will be provided with pre-addressed</w:t>
      </w:r>
      <w:r>
        <w:rPr>
          <w:spacing w:val="18"/>
          <w:w w:val="110"/>
          <w:sz w:val="22"/>
        </w:rPr>
        <w:t> </w:t>
      </w:r>
      <w:r>
        <w:rPr>
          <w:w w:val="110"/>
          <w:sz w:val="22"/>
        </w:rPr>
        <w:t>stickers</w:t>
      </w:r>
    </w:p>
    <w:p>
      <w:pPr>
        <w:pStyle w:val="ListParagraph"/>
        <w:numPr>
          <w:ilvl w:val="0"/>
          <w:numId w:val="2"/>
        </w:numPr>
        <w:tabs>
          <w:tab w:pos="750" w:val="left" w:leader="none"/>
          <w:tab w:pos="751" w:val="left" w:leader="none"/>
        </w:tabs>
        <w:spacing w:line="240" w:lineRule="auto" w:before="133" w:after="0"/>
        <w:ind w:left="750" w:right="651" w:hanging="358"/>
        <w:jc w:val="left"/>
        <w:rPr>
          <w:sz w:val="22"/>
        </w:rPr>
      </w:pPr>
      <w:r>
        <w:rPr>
          <w:w w:val="115"/>
          <w:sz w:val="22"/>
        </w:rPr>
        <w:t>Check markers/ panel leaders please </w:t>
      </w:r>
      <w:r>
        <w:rPr>
          <w:color w:val="00AFEF"/>
          <w:w w:val="115"/>
          <w:sz w:val="22"/>
        </w:rPr>
        <w:t>reuse the blue courier bags </w:t>
      </w:r>
      <w:r>
        <w:rPr>
          <w:w w:val="115"/>
          <w:sz w:val="22"/>
        </w:rPr>
        <w:t>– returning marked work to</w:t>
      </w:r>
      <w:r>
        <w:rPr>
          <w:spacing w:val="-10"/>
          <w:w w:val="115"/>
          <w:sz w:val="22"/>
        </w:rPr>
        <w:t> </w:t>
      </w:r>
      <w:r>
        <w:rPr>
          <w:w w:val="115"/>
          <w:sz w:val="22"/>
        </w:rPr>
        <w:t>makers</w:t>
      </w:r>
      <w:r>
        <w:rPr>
          <w:spacing w:val="-8"/>
          <w:w w:val="115"/>
          <w:sz w:val="22"/>
        </w:rPr>
        <w:t> </w:t>
      </w:r>
      <w:r>
        <w:rPr>
          <w:w w:val="115"/>
          <w:sz w:val="22"/>
        </w:rPr>
        <w:t>in</w:t>
      </w:r>
      <w:r>
        <w:rPr>
          <w:spacing w:val="-10"/>
          <w:w w:val="115"/>
          <w:sz w:val="22"/>
        </w:rPr>
        <w:t> </w:t>
      </w:r>
      <w:r>
        <w:rPr>
          <w:w w:val="115"/>
          <w:sz w:val="22"/>
        </w:rPr>
        <w:t>the</w:t>
      </w:r>
      <w:r>
        <w:rPr>
          <w:spacing w:val="-8"/>
          <w:w w:val="115"/>
          <w:sz w:val="22"/>
        </w:rPr>
        <w:t> </w:t>
      </w:r>
      <w:r>
        <w:rPr>
          <w:w w:val="115"/>
          <w:sz w:val="22"/>
        </w:rPr>
        <w:t>same</w:t>
      </w:r>
      <w:r>
        <w:rPr>
          <w:spacing w:val="-9"/>
          <w:w w:val="115"/>
          <w:sz w:val="22"/>
        </w:rPr>
        <w:t> </w:t>
      </w:r>
      <w:r>
        <w:rPr>
          <w:spacing w:val="-2"/>
          <w:w w:val="115"/>
          <w:sz w:val="22"/>
        </w:rPr>
        <w:t>bag</w:t>
      </w:r>
      <w:r>
        <w:rPr>
          <w:spacing w:val="-8"/>
          <w:w w:val="115"/>
          <w:sz w:val="22"/>
        </w:rPr>
        <w:t> </w:t>
      </w:r>
      <w:r>
        <w:rPr>
          <w:w w:val="115"/>
          <w:sz w:val="22"/>
        </w:rPr>
        <w:t>but</w:t>
      </w:r>
      <w:r>
        <w:rPr>
          <w:spacing w:val="-7"/>
          <w:w w:val="115"/>
          <w:sz w:val="22"/>
        </w:rPr>
        <w:t> </w:t>
      </w:r>
      <w:r>
        <w:rPr>
          <w:w w:val="115"/>
          <w:sz w:val="22"/>
        </w:rPr>
        <w:t>with</w:t>
      </w:r>
      <w:r>
        <w:rPr>
          <w:spacing w:val="-8"/>
          <w:w w:val="115"/>
          <w:sz w:val="22"/>
        </w:rPr>
        <w:t> </w:t>
      </w:r>
      <w:r>
        <w:rPr>
          <w:w w:val="115"/>
          <w:sz w:val="22"/>
        </w:rPr>
        <w:t>new</w:t>
      </w:r>
      <w:r>
        <w:rPr>
          <w:spacing w:val="-10"/>
          <w:w w:val="115"/>
          <w:sz w:val="22"/>
        </w:rPr>
        <w:t> </w:t>
      </w:r>
      <w:r>
        <w:rPr>
          <w:w w:val="115"/>
          <w:sz w:val="22"/>
        </w:rPr>
        <w:t>CourierPost</w:t>
      </w:r>
      <w:r>
        <w:rPr>
          <w:spacing w:val="-5"/>
          <w:w w:val="115"/>
          <w:sz w:val="22"/>
        </w:rPr>
        <w:t> </w:t>
      </w:r>
      <w:r>
        <w:rPr>
          <w:w w:val="115"/>
          <w:sz w:val="22"/>
        </w:rPr>
        <w:t>label</w:t>
      </w:r>
      <w:r>
        <w:rPr>
          <w:spacing w:val="-8"/>
          <w:w w:val="115"/>
          <w:sz w:val="22"/>
        </w:rPr>
        <w:t> </w:t>
      </w:r>
      <w:r>
        <w:rPr>
          <w:w w:val="115"/>
          <w:sz w:val="22"/>
        </w:rPr>
        <w:t>and</w:t>
      </w:r>
      <w:r>
        <w:rPr>
          <w:spacing w:val="-9"/>
          <w:w w:val="115"/>
          <w:sz w:val="22"/>
        </w:rPr>
        <w:t> </w:t>
      </w:r>
      <w:r>
        <w:rPr>
          <w:w w:val="115"/>
          <w:sz w:val="22"/>
        </w:rPr>
        <w:t>marker</w:t>
      </w:r>
      <w:r>
        <w:rPr>
          <w:spacing w:val="-8"/>
          <w:w w:val="115"/>
          <w:sz w:val="22"/>
        </w:rPr>
        <w:t> </w:t>
      </w:r>
      <w:r>
        <w:rPr>
          <w:w w:val="115"/>
          <w:sz w:val="22"/>
        </w:rPr>
        <w:t>address</w:t>
      </w:r>
    </w:p>
    <w:p>
      <w:pPr>
        <w:pStyle w:val="ListParagraph"/>
        <w:numPr>
          <w:ilvl w:val="0"/>
          <w:numId w:val="2"/>
        </w:numPr>
        <w:tabs>
          <w:tab w:pos="749" w:val="left" w:leader="none"/>
          <w:tab w:pos="750" w:val="left" w:leader="none"/>
        </w:tabs>
        <w:spacing w:line="240" w:lineRule="auto" w:before="135" w:after="0"/>
        <w:ind w:left="749" w:right="0" w:hanging="357"/>
        <w:jc w:val="left"/>
        <w:rPr>
          <w:sz w:val="22"/>
        </w:rPr>
      </w:pPr>
      <w:r>
        <w:rPr>
          <w:w w:val="110"/>
          <w:sz w:val="22"/>
        </w:rPr>
        <w:t>phone CourierPost on 0800 501 501 to arrange for</w:t>
      </w:r>
      <w:r>
        <w:rPr>
          <w:spacing w:val="2"/>
          <w:w w:val="110"/>
          <w:sz w:val="22"/>
        </w:rPr>
        <w:t> </w:t>
      </w:r>
      <w:r>
        <w:rPr>
          <w:w w:val="110"/>
          <w:sz w:val="22"/>
        </w:rPr>
        <w:t>collection</w:t>
      </w:r>
    </w:p>
    <w:p>
      <w:pPr>
        <w:pStyle w:val="ListParagraph"/>
        <w:numPr>
          <w:ilvl w:val="0"/>
          <w:numId w:val="2"/>
        </w:numPr>
        <w:tabs>
          <w:tab w:pos="749" w:val="left" w:leader="none"/>
          <w:tab w:pos="750" w:val="left" w:leader="none"/>
        </w:tabs>
        <w:spacing w:line="240" w:lineRule="auto" w:before="133" w:after="0"/>
        <w:ind w:left="750" w:right="978" w:hanging="358"/>
        <w:jc w:val="left"/>
        <w:rPr>
          <w:sz w:val="22"/>
        </w:rPr>
      </w:pPr>
      <w:r>
        <w:rPr>
          <w:w w:val="105"/>
          <w:sz w:val="22"/>
        </w:rPr>
        <w:t>attach a ‘Saturday Delivery’ sticker for bags couriered on a Friday – only drop-offs occur on Saturdays (no</w:t>
      </w:r>
      <w:r>
        <w:rPr>
          <w:spacing w:val="10"/>
          <w:w w:val="105"/>
          <w:sz w:val="22"/>
        </w:rPr>
        <w:t> </w:t>
      </w:r>
      <w:r>
        <w:rPr>
          <w:w w:val="105"/>
          <w:sz w:val="22"/>
        </w:rPr>
        <w:t>pick-ups).</w:t>
      </w:r>
    </w:p>
    <w:p>
      <w:pPr>
        <w:pStyle w:val="BodyText"/>
        <w:spacing w:before="11"/>
        <w:rPr>
          <w:sz w:val="20"/>
        </w:rPr>
      </w:pPr>
    </w:p>
    <w:p>
      <w:pPr>
        <w:pStyle w:val="BodyText"/>
        <w:ind w:left="392"/>
      </w:pPr>
      <w:r>
        <w:rPr>
          <w:w w:val="120"/>
        </w:rPr>
        <w:t>Responding to check marking:</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w w:val="110"/>
          <w:sz w:val="22"/>
        </w:rPr>
        <w:t>be prepared for feedback at an arranged</w:t>
      </w:r>
      <w:r>
        <w:rPr>
          <w:spacing w:val="4"/>
          <w:w w:val="110"/>
          <w:sz w:val="22"/>
        </w:rPr>
        <w:t> </w:t>
      </w:r>
      <w:r>
        <w:rPr>
          <w:w w:val="110"/>
          <w:sz w:val="22"/>
        </w:rPr>
        <w:t>time</w:t>
      </w:r>
    </w:p>
    <w:p>
      <w:pPr>
        <w:pStyle w:val="ListParagraph"/>
        <w:numPr>
          <w:ilvl w:val="0"/>
          <w:numId w:val="2"/>
        </w:numPr>
        <w:tabs>
          <w:tab w:pos="749" w:val="left" w:leader="none"/>
          <w:tab w:pos="750" w:val="left" w:leader="none"/>
        </w:tabs>
        <w:spacing w:line="240" w:lineRule="auto" w:before="135" w:after="0"/>
        <w:ind w:left="749" w:right="0" w:hanging="357"/>
        <w:jc w:val="left"/>
        <w:rPr>
          <w:sz w:val="22"/>
        </w:rPr>
      </w:pPr>
      <w:r>
        <w:rPr>
          <w:w w:val="105"/>
          <w:sz w:val="22"/>
        </w:rPr>
        <w:t>follow the advice and instructions of your panel leader/check</w:t>
      </w:r>
      <w:r>
        <w:rPr>
          <w:spacing w:val="5"/>
          <w:w w:val="105"/>
          <w:sz w:val="22"/>
        </w:rPr>
        <w:t> </w:t>
      </w:r>
      <w:r>
        <w:rPr>
          <w:w w:val="105"/>
          <w:sz w:val="22"/>
        </w:rPr>
        <w:t>marker</w:t>
      </w:r>
    </w:p>
    <w:p>
      <w:pPr>
        <w:pStyle w:val="ListParagraph"/>
        <w:numPr>
          <w:ilvl w:val="0"/>
          <w:numId w:val="2"/>
        </w:numPr>
        <w:tabs>
          <w:tab w:pos="749" w:val="left" w:leader="none"/>
          <w:tab w:pos="750" w:val="left" w:leader="none"/>
        </w:tabs>
        <w:spacing w:line="240" w:lineRule="auto" w:before="134" w:after="0"/>
        <w:ind w:left="749" w:right="0" w:hanging="357"/>
        <w:jc w:val="left"/>
        <w:rPr>
          <w:sz w:val="22"/>
        </w:rPr>
      </w:pPr>
      <w:r>
        <w:rPr>
          <w:w w:val="110"/>
          <w:sz w:val="22"/>
        </w:rPr>
        <w:t>discuss the extent of any required review of grades already</w:t>
      </w:r>
      <w:r>
        <w:rPr>
          <w:spacing w:val="11"/>
          <w:w w:val="110"/>
          <w:sz w:val="22"/>
        </w:rPr>
        <w:t> </w:t>
      </w:r>
      <w:r>
        <w:rPr>
          <w:w w:val="110"/>
          <w:sz w:val="22"/>
        </w:rPr>
        <w:t>entered</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w w:val="115"/>
          <w:sz w:val="22"/>
        </w:rPr>
        <w:t>review</w:t>
      </w:r>
      <w:r>
        <w:rPr>
          <w:spacing w:val="-8"/>
          <w:w w:val="115"/>
          <w:sz w:val="22"/>
        </w:rPr>
        <w:t> </w:t>
      </w:r>
      <w:r>
        <w:rPr>
          <w:w w:val="115"/>
          <w:sz w:val="22"/>
        </w:rPr>
        <w:t>and</w:t>
      </w:r>
      <w:r>
        <w:rPr>
          <w:spacing w:val="-7"/>
          <w:w w:val="115"/>
          <w:sz w:val="22"/>
        </w:rPr>
        <w:t> </w:t>
      </w:r>
      <w:r>
        <w:rPr>
          <w:w w:val="115"/>
          <w:sz w:val="22"/>
        </w:rPr>
        <w:t>amend</w:t>
      </w:r>
      <w:r>
        <w:rPr>
          <w:spacing w:val="-7"/>
          <w:w w:val="115"/>
          <w:sz w:val="22"/>
        </w:rPr>
        <w:t> </w:t>
      </w:r>
      <w:r>
        <w:rPr>
          <w:w w:val="115"/>
          <w:sz w:val="22"/>
        </w:rPr>
        <w:t>any</w:t>
      </w:r>
      <w:r>
        <w:rPr>
          <w:spacing w:val="-11"/>
          <w:w w:val="115"/>
          <w:sz w:val="22"/>
        </w:rPr>
        <w:t> </w:t>
      </w:r>
      <w:r>
        <w:rPr>
          <w:w w:val="115"/>
          <w:sz w:val="22"/>
        </w:rPr>
        <w:t>results</w:t>
      </w:r>
      <w:r>
        <w:rPr>
          <w:spacing w:val="-8"/>
          <w:w w:val="115"/>
          <w:sz w:val="22"/>
        </w:rPr>
        <w:t> </w:t>
      </w:r>
      <w:r>
        <w:rPr>
          <w:w w:val="115"/>
          <w:sz w:val="22"/>
        </w:rPr>
        <w:t>as</w:t>
      </w:r>
      <w:r>
        <w:rPr>
          <w:spacing w:val="-7"/>
          <w:w w:val="115"/>
          <w:sz w:val="22"/>
        </w:rPr>
        <w:t> </w:t>
      </w:r>
      <w:r>
        <w:rPr>
          <w:w w:val="115"/>
          <w:sz w:val="22"/>
        </w:rPr>
        <w:t>required</w:t>
      </w:r>
      <w:r>
        <w:rPr>
          <w:spacing w:val="-9"/>
          <w:w w:val="115"/>
          <w:sz w:val="22"/>
        </w:rPr>
        <w:t> </w:t>
      </w:r>
      <w:r>
        <w:rPr>
          <w:w w:val="115"/>
          <w:sz w:val="22"/>
        </w:rPr>
        <w:t>by</w:t>
      </w:r>
      <w:r>
        <w:rPr>
          <w:spacing w:val="-10"/>
          <w:w w:val="115"/>
          <w:sz w:val="22"/>
        </w:rPr>
        <w:t> </w:t>
      </w:r>
      <w:r>
        <w:rPr>
          <w:w w:val="115"/>
          <w:sz w:val="22"/>
        </w:rPr>
        <w:t>the</w:t>
      </w:r>
      <w:r>
        <w:rPr>
          <w:spacing w:val="-8"/>
          <w:w w:val="115"/>
          <w:sz w:val="22"/>
        </w:rPr>
        <w:t> </w:t>
      </w:r>
      <w:r>
        <w:rPr>
          <w:w w:val="115"/>
          <w:sz w:val="22"/>
        </w:rPr>
        <w:t>check</w:t>
      </w:r>
      <w:r>
        <w:rPr>
          <w:spacing w:val="-8"/>
          <w:w w:val="115"/>
          <w:sz w:val="22"/>
        </w:rPr>
        <w:t> </w:t>
      </w:r>
      <w:r>
        <w:rPr>
          <w:w w:val="115"/>
          <w:sz w:val="22"/>
        </w:rPr>
        <w:t>marker,</w:t>
      </w:r>
      <w:r>
        <w:rPr>
          <w:spacing w:val="-9"/>
          <w:w w:val="115"/>
          <w:sz w:val="22"/>
        </w:rPr>
        <w:t> </w:t>
      </w:r>
      <w:r>
        <w:rPr>
          <w:w w:val="115"/>
          <w:sz w:val="22"/>
        </w:rPr>
        <w:t>this</w:t>
      </w:r>
      <w:r>
        <w:rPr>
          <w:spacing w:val="-8"/>
          <w:w w:val="115"/>
          <w:sz w:val="22"/>
        </w:rPr>
        <w:t> </w:t>
      </w:r>
      <w:r>
        <w:rPr>
          <w:w w:val="115"/>
          <w:sz w:val="22"/>
        </w:rPr>
        <w:t>is</w:t>
      </w:r>
      <w:r>
        <w:rPr>
          <w:spacing w:val="-9"/>
          <w:w w:val="115"/>
          <w:sz w:val="22"/>
        </w:rPr>
        <w:t> </w:t>
      </w:r>
      <w:r>
        <w:rPr>
          <w:w w:val="115"/>
          <w:sz w:val="22"/>
        </w:rPr>
        <w:t>of</w:t>
      </w:r>
      <w:r>
        <w:rPr>
          <w:spacing w:val="-9"/>
          <w:w w:val="115"/>
          <w:sz w:val="22"/>
        </w:rPr>
        <w:t> </w:t>
      </w:r>
      <w:r>
        <w:rPr>
          <w:w w:val="115"/>
          <w:sz w:val="22"/>
        </w:rPr>
        <w:t>utmost</w:t>
      </w:r>
      <w:r>
        <w:rPr>
          <w:spacing w:val="-10"/>
          <w:w w:val="115"/>
          <w:sz w:val="22"/>
        </w:rPr>
        <w:t> </w:t>
      </w:r>
      <w:r>
        <w:rPr>
          <w:w w:val="115"/>
          <w:sz w:val="22"/>
        </w:rPr>
        <w:t>importance.</w:t>
      </w:r>
    </w:p>
    <w:p>
      <w:pPr>
        <w:pStyle w:val="ListParagraph"/>
        <w:numPr>
          <w:ilvl w:val="0"/>
          <w:numId w:val="2"/>
        </w:numPr>
        <w:tabs>
          <w:tab w:pos="749" w:val="left" w:leader="none"/>
          <w:tab w:pos="750" w:val="left" w:leader="none"/>
        </w:tabs>
        <w:spacing w:line="240" w:lineRule="auto" w:before="133" w:after="0"/>
        <w:ind w:left="749" w:right="0" w:hanging="357"/>
        <w:jc w:val="left"/>
        <w:rPr>
          <w:sz w:val="22"/>
        </w:rPr>
      </w:pPr>
      <w:r>
        <w:rPr>
          <w:w w:val="110"/>
          <w:sz w:val="22"/>
        </w:rPr>
        <w:t>note the return date and check marker grade on the Portfolios Sent for Check Marking</w:t>
      </w:r>
      <w:r>
        <w:rPr>
          <w:spacing w:val="-2"/>
          <w:w w:val="110"/>
          <w:sz w:val="22"/>
        </w:rPr>
        <w:t> </w:t>
      </w:r>
      <w:r>
        <w:rPr>
          <w:w w:val="110"/>
          <w:sz w:val="22"/>
        </w:rPr>
        <w:t>Form</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w w:val="110"/>
          <w:sz w:val="22"/>
        </w:rPr>
        <w:t>remove ALL check marking notes/post-it notes; candidates must not see</w:t>
      </w:r>
      <w:r>
        <w:rPr>
          <w:spacing w:val="16"/>
          <w:w w:val="110"/>
          <w:sz w:val="22"/>
        </w:rPr>
        <w:t> </w:t>
      </w:r>
      <w:r>
        <w:rPr>
          <w:w w:val="110"/>
          <w:sz w:val="22"/>
        </w:rPr>
        <w:t>these.</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w w:val="110"/>
          <w:sz w:val="22"/>
        </w:rPr>
        <w:t>change results on Answer Booklet Control Sheet, as</w:t>
      </w:r>
      <w:r>
        <w:rPr>
          <w:spacing w:val="2"/>
          <w:w w:val="110"/>
          <w:sz w:val="22"/>
        </w:rPr>
        <w:t> </w:t>
      </w:r>
      <w:r>
        <w:rPr>
          <w:w w:val="110"/>
          <w:sz w:val="22"/>
        </w:rPr>
        <w:t>required.</w:t>
      </w:r>
    </w:p>
    <w:p>
      <w:pPr>
        <w:spacing w:after="0" w:line="240" w:lineRule="auto"/>
        <w:jc w:val="left"/>
        <w:rPr>
          <w:sz w:val="22"/>
        </w:rPr>
        <w:sectPr>
          <w:pgSz w:w="11910" w:h="16840"/>
          <w:pgMar w:header="0" w:footer="858" w:top="940" w:bottom="1060" w:left="740" w:right="580"/>
        </w:sectPr>
      </w:pPr>
    </w:p>
    <w:p>
      <w:pPr>
        <w:pStyle w:val="Heading3"/>
        <w:spacing w:before="63"/>
      </w:pPr>
      <w:bookmarkStart w:name="_TOC_250029" w:id="19"/>
      <w:bookmarkEnd w:id="19"/>
      <w:r>
        <w:rPr>
          <w:w w:val="120"/>
        </w:rPr>
        <w:t>Courier bookings</w:t>
      </w:r>
    </w:p>
    <w:p>
      <w:pPr>
        <w:pStyle w:val="BodyText"/>
        <w:spacing w:before="120"/>
        <w:ind w:left="392" w:right="1078"/>
      </w:pPr>
      <w:r>
        <w:rPr>
          <w:w w:val="105"/>
        </w:rPr>
        <w:t>The preferred option for markers to book check marking pick-up and final pick-up is using the online booking tool. If for some reason you cannot use the booking tool please phone 0800 501</w:t>
      </w:r>
    </w:p>
    <w:p>
      <w:pPr>
        <w:pStyle w:val="BodyText"/>
        <w:spacing w:before="1"/>
        <w:ind w:left="392"/>
      </w:pPr>
      <w:r>
        <w:rPr>
          <w:w w:val="110"/>
        </w:rPr>
        <w:t>501. The online booking tool is easily accessible and available 24/7.</w:t>
      </w:r>
    </w:p>
    <w:p>
      <w:pPr>
        <w:pStyle w:val="BodyText"/>
        <w:spacing w:before="3"/>
        <w:rPr>
          <w:sz w:val="10"/>
        </w:rPr>
      </w:pPr>
    </w:p>
    <w:tbl>
      <w:tblPr>
        <w:tblW w:w="0" w:type="auto"/>
        <w:jc w:val="left"/>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3756"/>
        <w:gridCol w:w="5016"/>
      </w:tblGrid>
      <w:tr>
        <w:trPr>
          <w:trHeight w:val="470" w:hRule="atLeast"/>
        </w:trPr>
        <w:tc>
          <w:tcPr>
            <w:tcW w:w="857" w:type="dxa"/>
            <w:shd w:val="clear" w:color="auto" w:fill="D8D8D8"/>
          </w:tcPr>
          <w:p>
            <w:pPr>
              <w:pStyle w:val="TableParagraph"/>
              <w:spacing w:before="120"/>
              <w:ind w:right="201"/>
              <w:jc w:val="right"/>
              <w:rPr>
                <w:sz w:val="20"/>
              </w:rPr>
            </w:pPr>
            <w:r>
              <w:rPr>
                <w:w w:val="120"/>
                <w:sz w:val="20"/>
              </w:rPr>
              <w:t>Step</w:t>
            </w:r>
          </w:p>
        </w:tc>
        <w:tc>
          <w:tcPr>
            <w:tcW w:w="3756" w:type="dxa"/>
            <w:shd w:val="clear" w:color="auto" w:fill="D8D8D8"/>
          </w:tcPr>
          <w:p>
            <w:pPr>
              <w:pStyle w:val="TableParagraph"/>
              <w:spacing w:before="120"/>
              <w:ind w:left="1289" w:right="1282"/>
              <w:jc w:val="center"/>
              <w:rPr>
                <w:sz w:val="20"/>
              </w:rPr>
            </w:pPr>
            <w:r>
              <w:rPr>
                <w:w w:val="120"/>
                <w:sz w:val="20"/>
              </w:rPr>
              <w:t>Instructions</w:t>
            </w:r>
          </w:p>
        </w:tc>
        <w:tc>
          <w:tcPr>
            <w:tcW w:w="5016" w:type="dxa"/>
            <w:shd w:val="clear" w:color="auto" w:fill="D8D8D8"/>
          </w:tcPr>
          <w:p>
            <w:pPr>
              <w:pStyle w:val="TableParagraph"/>
              <w:spacing w:before="120"/>
              <w:ind w:left="1907" w:right="1899"/>
              <w:jc w:val="center"/>
              <w:rPr>
                <w:sz w:val="20"/>
              </w:rPr>
            </w:pPr>
            <w:r>
              <w:rPr>
                <w:w w:val="125"/>
                <w:sz w:val="20"/>
              </w:rPr>
              <w:t>Screen shot</w:t>
            </w:r>
          </w:p>
        </w:tc>
      </w:tr>
      <w:tr>
        <w:trPr>
          <w:trHeight w:val="1770" w:hRule="atLeast"/>
        </w:trPr>
        <w:tc>
          <w:tcPr>
            <w:tcW w:w="857" w:type="dxa"/>
          </w:tcPr>
          <w:p>
            <w:pPr>
              <w:pStyle w:val="TableParagraph"/>
              <w:spacing w:before="120"/>
              <w:ind w:right="210"/>
              <w:jc w:val="right"/>
              <w:rPr>
                <w:sz w:val="20"/>
              </w:rPr>
            </w:pPr>
            <w:r>
              <w:rPr>
                <w:w w:val="110"/>
                <w:sz w:val="20"/>
              </w:rPr>
              <w:t>1.</w:t>
            </w:r>
          </w:p>
        </w:tc>
        <w:tc>
          <w:tcPr>
            <w:tcW w:w="3756" w:type="dxa"/>
          </w:tcPr>
          <w:p>
            <w:pPr>
              <w:pStyle w:val="TableParagraph"/>
              <w:spacing w:before="121"/>
              <w:ind w:left="107"/>
              <w:rPr>
                <w:sz w:val="22"/>
              </w:rPr>
            </w:pPr>
            <w:r>
              <w:rPr>
                <w:w w:val="105"/>
                <w:sz w:val="22"/>
              </w:rPr>
              <w:t>Visit </w:t>
            </w:r>
            <w:hyperlink r:id="rId8">
              <w:r>
                <w:rPr>
                  <w:color w:val="0000FF"/>
                  <w:w w:val="105"/>
                  <w:sz w:val="22"/>
                  <w:u w:val="single" w:color="0000FF"/>
                </w:rPr>
                <w:t>www.courierpost.co.nz</w:t>
              </w:r>
            </w:hyperlink>
          </w:p>
        </w:tc>
        <w:tc>
          <w:tcPr>
            <w:tcW w:w="5016" w:type="dxa"/>
          </w:tcPr>
          <w:p>
            <w:pPr>
              <w:pStyle w:val="TableParagraph"/>
              <w:spacing w:before="7"/>
              <w:rPr>
                <w:sz w:val="10"/>
              </w:rPr>
            </w:pPr>
          </w:p>
          <w:p>
            <w:pPr>
              <w:pStyle w:val="TableParagraph"/>
              <w:ind w:left="710"/>
              <w:rPr>
                <w:sz w:val="20"/>
              </w:rPr>
            </w:pPr>
            <w:r>
              <w:rPr>
                <w:sz w:val="20"/>
              </w:rPr>
              <w:drawing>
                <wp:inline distT="0" distB="0" distL="0" distR="0">
                  <wp:extent cx="2280665" cy="969168"/>
                  <wp:effectExtent l="0" t="0" r="0" b="0"/>
                  <wp:docPr id="3" name="image7.jpeg" descr=""/>
                  <wp:cNvGraphicFramePr>
                    <a:graphicFrameLocks noChangeAspect="1"/>
                  </wp:cNvGraphicFramePr>
                  <a:graphic>
                    <a:graphicData uri="http://schemas.openxmlformats.org/drawingml/2006/picture">
                      <pic:pic>
                        <pic:nvPicPr>
                          <pic:cNvPr id="4" name="image7.jpeg"/>
                          <pic:cNvPicPr/>
                        </pic:nvPicPr>
                        <pic:blipFill>
                          <a:blip r:embed="rId16" cstate="print"/>
                          <a:stretch>
                            <a:fillRect/>
                          </a:stretch>
                        </pic:blipFill>
                        <pic:spPr>
                          <a:xfrm>
                            <a:off x="0" y="0"/>
                            <a:ext cx="2280665" cy="969168"/>
                          </a:xfrm>
                          <a:prstGeom prst="rect">
                            <a:avLst/>
                          </a:prstGeom>
                        </pic:spPr>
                      </pic:pic>
                    </a:graphicData>
                  </a:graphic>
                </wp:inline>
              </w:drawing>
            </w:r>
            <w:r>
              <w:rPr>
                <w:sz w:val="20"/>
              </w:rPr>
            </w:r>
          </w:p>
        </w:tc>
      </w:tr>
      <w:tr>
        <w:trPr>
          <w:trHeight w:val="1468" w:hRule="atLeast"/>
        </w:trPr>
        <w:tc>
          <w:tcPr>
            <w:tcW w:w="857" w:type="dxa"/>
          </w:tcPr>
          <w:p>
            <w:pPr>
              <w:pStyle w:val="TableParagraph"/>
              <w:spacing w:before="120"/>
              <w:ind w:right="210"/>
              <w:jc w:val="right"/>
              <w:rPr>
                <w:sz w:val="20"/>
              </w:rPr>
            </w:pPr>
            <w:r>
              <w:rPr>
                <w:w w:val="110"/>
                <w:sz w:val="20"/>
              </w:rPr>
              <w:t>2.</w:t>
            </w:r>
          </w:p>
        </w:tc>
        <w:tc>
          <w:tcPr>
            <w:tcW w:w="3756" w:type="dxa"/>
          </w:tcPr>
          <w:p>
            <w:pPr>
              <w:pStyle w:val="TableParagraph"/>
              <w:spacing w:before="121"/>
              <w:ind w:left="107"/>
              <w:rPr>
                <w:sz w:val="22"/>
              </w:rPr>
            </w:pPr>
            <w:r>
              <w:rPr>
                <w:w w:val="110"/>
                <w:sz w:val="22"/>
              </w:rPr>
              <w:t>Select Book a Pick Up in the drop- down menu.</w:t>
            </w:r>
          </w:p>
          <w:p>
            <w:pPr>
              <w:pStyle w:val="TableParagraph"/>
              <w:spacing w:before="120"/>
              <w:ind w:left="107"/>
              <w:rPr>
                <w:sz w:val="22"/>
              </w:rPr>
            </w:pPr>
            <w:r>
              <w:rPr>
                <w:w w:val="110"/>
                <w:sz w:val="22"/>
              </w:rPr>
              <w:t>Select Book a Pick Up by Address.</w:t>
            </w:r>
          </w:p>
          <w:p>
            <w:pPr>
              <w:pStyle w:val="TableParagraph"/>
              <w:spacing w:before="118"/>
              <w:ind w:left="107"/>
              <w:rPr>
                <w:sz w:val="20"/>
              </w:rPr>
            </w:pPr>
            <w:r>
              <w:rPr>
                <w:w w:val="110"/>
                <w:sz w:val="20"/>
              </w:rPr>
              <w:t>Do not use the Site ID option.</w:t>
            </w:r>
          </w:p>
        </w:tc>
        <w:tc>
          <w:tcPr>
            <w:tcW w:w="5016" w:type="dxa"/>
          </w:tcPr>
          <w:p>
            <w:pPr>
              <w:pStyle w:val="TableParagraph"/>
              <w:rPr>
                <w:sz w:val="20"/>
              </w:rPr>
            </w:pPr>
          </w:p>
          <w:p>
            <w:pPr>
              <w:pStyle w:val="TableParagraph"/>
              <w:rPr>
                <w:sz w:val="14"/>
              </w:rPr>
            </w:pPr>
          </w:p>
          <w:p>
            <w:pPr>
              <w:pStyle w:val="TableParagraph"/>
              <w:ind w:left="201"/>
              <w:rPr>
                <w:sz w:val="20"/>
              </w:rPr>
            </w:pPr>
            <w:r>
              <w:rPr>
                <w:sz w:val="20"/>
              </w:rPr>
              <w:drawing>
                <wp:inline distT="0" distB="0" distL="0" distR="0">
                  <wp:extent cx="2910712" cy="403859"/>
                  <wp:effectExtent l="0" t="0" r="0" b="0"/>
                  <wp:docPr id="5" name="image8.jpeg" descr=""/>
                  <wp:cNvGraphicFramePr>
                    <a:graphicFrameLocks noChangeAspect="1"/>
                  </wp:cNvGraphicFramePr>
                  <a:graphic>
                    <a:graphicData uri="http://schemas.openxmlformats.org/drawingml/2006/picture">
                      <pic:pic>
                        <pic:nvPicPr>
                          <pic:cNvPr id="6" name="image8.jpeg"/>
                          <pic:cNvPicPr/>
                        </pic:nvPicPr>
                        <pic:blipFill>
                          <a:blip r:embed="rId17" cstate="print"/>
                          <a:stretch>
                            <a:fillRect/>
                          </a:stretch>
                        </pic:blipFill>
                        <pic:spPr>
                          <a:xfrm>
                            <a:off x="0" y="0"/>
                            <a:ext cx="2910712" cy="403859"/>
                          </a:xfrm>
                          <a:prstGeom prst="rect">
                            <a:avLst/>
                          </a:prstGeom>
                        </pic:spPr>
                      </pic:pic>
                    </a:graphicData>
                  </a:graphic>
                </wp:inline>
              </w:drawing>
            </w:r>
            <w:r>
              <w:rPr>
                <w:sz w:val="20"/>
              </w:rPr>
            </w:r>
          </w:p>
        </w:tc>
      </w:tr>
      <w:tr>
        <w:trPr>
          <w:trHeight w:val="5399" w:hRule="atLeast"/>
        </w:trPr>
        <w:tc>
          <w:tcPr>
            <w:tcW w:w="857" w:type="dxa"/>
          </w:tcPr>
          <w:p>
            <w:pPr>
              <w:pStyle w:val="TableParagraph"/>
              <w:spacing w:before="120"/>
              <w:ind w:right="210"/>
              <w:jc w:val="right"/>
              <w:rPr>
                <w:sz w:val="20"/>
              </w:rPr>
            </w:pPr>
            <w:r>
              <w:rPr>
                <w:w w:val="110"/>
                <w:sz w:val="20"/>
              </w:rPr>
              <w:t>3.</w:t>
            </w:r>
          </w:p>
        </w:tc>
        <w:tc>
          <w:tcPr>
            <w:tcW w:w="3756" w:type="dxa"/>
          </w:tcPr>
          <w:p>
            <w:pPr>
              <w:pStyle w:val="TableParagraph"/>
              <w:spacing w:before="121"/>
              <w:ind w:left="107"/>
              <w:rPr>
                <w:sz w:val="22"/>
              </w:rPr>
            </w:pPr>
            <w:r>
              <w:rPr>
                <w:w w:val="105"/>
                <w:sz w:val="22"/>
              </w:rPr>
              <w:t>Enter information in each field.</w:t>
            </w:r>
          </w:p>
          <w:p>
            <w:pPr>
              <w:pStyle w:val="TableParagraph"/>
              <w:spacing w:before="121"/>
              <w:ind w:left="107"/>
              <w:rPr>
                <w:sz w:val="22"/>
              </w:rPr>
            </w:pPr>
            <w:r>
              <w:rPr>
                <w:w w:val="110"/>
                <w:sz w:val="22"/>
              </w:rPr>
              <w:t>You can request an email confirmation of your job booking. This will be useful in case you need to query the pick-up.</w:t>
            </w:r>
          </w:p>
          <w:p>
            <w:pPr>
              <w:pStyle w:val="TableParagraph"/>
              <w:spacing w:before="118"/>
              <w:ind w:left="107" w:right="400"/>
              <w:rPr>
                <w:sz w:val="22"/>
              </w:rPr>
            </w:pPr>
            <w:r>
              <w:rPr>
                <w:w w:val="110"/>
                <w:sz w:val="22"/>
              </w:rPr>
              <w:t>You can also click on Remember me option, so the next time you enter your name, the system will remember your pick-up details.</w:t>
            </w:r>
          </w:p>
          <w:p>
            <w:pPr>
              <w:pStyle w:val="TableParagraph"/>
              <w:spacing w:line="252" w:lineRule="exact" w:before="121"/>
              <w:ind w:left="107"/>
              <w:rPr>
                <w:sz w:val="22"/>
              </w:rPr>
            </w:pPr>
            <w:r>
              <w:rPr>
                <w:w w:val="110"/>
                <w:sz w:val="22"/>
              </w:rPr>
              <w:t>Pick-ups booked by phone require</w:t>
            </w:r>
          </w:p>
          <w:p>
            <w:pPr>
              <w:pStyle w:val="TableParagraph"/>
              <w:spacing w:line="229" w:lineRule="exact"/>
              <w:ind w:left="107"/>
              <w:rPr>
                <w:sz w:val="20"/>
              </w:rPr>
            </w:pPr>
            <w:r>
              <w:rPr>
                <w:w w:val="105"/>
                <w:sz w:val="20"/>
              </w:rPr>
              <w:t>you to repeat all of your details.</w:t>
            </w:r>
          </w:p>
          <w:p>
            <w:pPr>
              <w:pStyle w:val="TableParagraph"/>
              <w:spacing w:before="121"/>
              <w:ind w:left="107" w:right="289"/>
              <w:rPr>
                <w:sz w:val="20"/>
              </w:rPr>
            </w:pPr>
            <w:r>
              <w:rPr>
                <w:w w:val="110"/>
                <w:sz w:val="20"/>
              </w:rPr>
              <w:t>You must complete all required fields as indicated by an asterisk.</w:t>
            </w:r>
          </w:p>
          <w:p>
            <w:pPr>
              <w:pStyle w:val="TableParagraph"/>
              <w:spacing w:before="121"/>
              <w:ind w:left="107" w:right="473"/>
              <w:rPr>
                <w:sz w:val="20"/>
              </w:rPr>
            </w:pPr>
            <w:r>
              <w:rPr>
                <w:w w:val="120"/>
                <w:sz w:val="20"/>
              </w:rPr>
              <w:t>Please enter NZQA under the ‘Company</w:t>
            </w:r>
            <w:r>
              <w:rPr>
                <w:spacing w:val="-31"/>
                <w:w w:val="120"/>
                <w:sz w:val="20"/>
              </w:rPr>
              <w:t> </w:t>
            </w:r>
            <w:r>
              <w:rPr>
                <w:w w:val="120"/>
                <w:sz w:val="20"/>
              </w:rPr>
              <w:t>name’</w:t>
            </w:r>
            <w:r>
              <w:rPr>
                <w:spacing w:val="-28"/>
                <w:w w:val="120"/>
                <w:sz w:val="20"/>
              </w:rPr>
              <w:t> </w:t>
            </w:r>
            <w:r>
              <w:rPr>
                <w:w w:val="120"/>
                <w:sz w:val="20"/>
              </w:rPr>
              <w:t>for</w:t>
            </w:r>
            <w:r>
              <w:rPr>
                <w:spacing w:val="-30"/>
                <w:w w:val="120"/>
                <w:sz w:val="20"/>
              </w:rPr>
              <w:t> </w:t>
            </w:r>
            <w:r>
              <w:rPr>
                <w:w w:val="120"/>
                <w:sz w:val="20"/>
              </w:rPr>
              <w:t>CourierPost performance reporting</w:t>
            </w:r>
            <w:r>
              <w:rPr>
                <w:spacing w:val="20"/>
                <w:w w:val="120"/>
                <w:sz w:val="20"/>
              </w:rPr>
              <w:t> </w:t>
            </w:r>
            <w:r>
              <w:rPr>
                <w:w w:val="120"/>
                <w:sz w:val="20"/>
              </w:rPr>
              <w:t>purposes.</w:t>
            </w:r>
          </w:p>
          <w:p>
            <w:pPr>
              <w:pStyle w:val="TableParagraph"/>
              <w:spacing w:before="118"/>
              <w:ind w:left="107"/>
              <w:rPr>
                <w:sz w:val="20"/>
              </w:rPr>
            </w:pPr>
            <w:r>
              <w:rPr>
                <w:w w:val="105"/>
                <w:sz w:val="20"/>
              </w:rPr>
              <w:t>Other fields are optional. For example, ‘Pick up instructions’ is not</w:t>
            </w:r>
            <w:r>
              <w:rPr>
                <w:spacing w:val="37"/>
                <w:w w:val="105"/>
                <w:sz w:val="20"/>
              </w:rPr>
              <w:t> </w:t>
            </w:r>
            <w:r>
              <w:rPr>
                <w:w w:val="105"/>
                <w:sz w:val="20"/>
              </w:rPr>
              <w:t>required.</w:t>
            </w:r>
          </w:p>
        </w:tc>
        <w:tc>
          <w:tcPr>
            <w:tcW w:w="5016" w:type="dxa"/>
          </w:tcPr>
          <w:p>
            <w:pPr>
              <w:pStyle w:val="TableParagraph"/>
              <w:rPr>
                <w:sz w:val="24"/>
              </w:rPr>
            </w:pPr>
          </w:p>
          <w:p>
            <w:pPr>
              <w:pStyle w:val="TableParagraph"/>
              <w:ind w:left="187"/>
              <w:rPr>
                <w:sz w:val="20"/>
              </w:rPr>
            </w:pPr>
            <w:r>
              <w:rPr>
                <w:sz w:val="20"/>
              </w:rPr>
              <w:drawing>
                <wp:inline distT="0" distB="0" distL="0" distR="0">
                  <wp:extent cx="2975800" cy="3121152"/>
                  <wp:effectExtent l="0" t="0" r="0" b="0"/>
                  <wp:docPr id="7" name="image9.jpeg" descr=""/>
                  <wp:cNvGraphicFramePr>
                    <a:graphicFrameLocks noChangeAspect="1"/>
                  </wp:cNvGraphicFramePr>
                  <a:graphic>
                    <a:graphicData uri="http://schemas.openxmlformats.org/drawingml/2006/picture">
                      <pic:pic>
                        <pic:nvPicPr>
                          <pic:cNvPr id="8" name="image9.jpeg"/>
                          <pic:cNvPicPr/>
                        </pic:nvPicPr>
                        <pic:blipFill>
                          <a:blip r:embed="rId18" cstate="print"/>
                          <a:stretch>
                            <a:fillRect/>
                          </a:stretch>
                        </pic:blipFill>
                        <pic:spPr>
                          <a:xfrm>
                            <a:off x="0" y="0"/>
                            <a:ext cx="2975800" cy="3121152"/>
                          </a:xfrm>
                          <a:prstGeom prst="rect">
                            <a:avLst/>
                          </a:prstGeom>
                        </pic:spPr>
                      </pic:pic>
                    </a:graphicData>
                  </a:graphic>
                </wp:inline>
              </w:drawing>
            </w:r>
            <w:r>
              <w:rPr>
                <w:sz w:val="20"/>
              </w:rPr>
            </w:r>
          </w:p>
        </w:tc>
      </w:tr>
      <w:tr>
        <w:trPr>
          <w:trHeight w:val="1998" w:hRule="atLeast"/>
        </w:trPr>
        <w:tc>
          <w:tcPr>
            <w:tcW w:w="857" w:type="dxa"/>
          </w:tcPr>
          <w:p>
            <w:pPr>
              <w:pStyle w:val="TableParagraph"/>
              <w:rPr>
                <w:sz w:val="20"/>
              </w:rPr>
            </w:pPr>
          </w:p>
        </w:tc>
        <w:tc>
          <w:tcPr>
            <w:tcW w:w="3756" w:type="dxa"/>
          </w:tcPr>
          <w:p>
            <w:pPr>
              <w:pStyle w:val="TableParagraph"/>
              <w:spacing w:before="121"/>
              <w:ind w:left="107"/>
              <w:rPr>
                <w:sz w:val="22"/>
              </w:rPr>
            </w:pPr>
            <w:r>
              <w:rPr>
                <w:w w:val="105"/>
                <w:sz w:val="22"/>
              </w:rPr>
              <w:t>Click on “BOOK PICK UP” button at the bottom.</w:t>
            </w:r>
          </w:p>
          <w:p>
            <w:pPr>
              <w:pStyle w:val="TableParagraph"/>
              <w:spacing w:before="120"/>
              <w:ind w:left="107" w:right="66"/>
              <w:rPr>
                <w:sz w:val="22"/>
              </w:rPr>
            </w:pPr>
            <w:r>
              <w:rPr>
                <w:w w:val="105"/>
                <w:sz w:val="22"/>
              </w:rPr>
              <w:t>You will see a pop-up window with the job booking number.</w:t>
            </w:r>
          </w:p>
          <w:p>
            <w:pPr>
              <w:pStyle w:val="TableParagraph"/>
              <w:spacing w:before="120"/>
              <w:ind w:left="107" w:right="289"/>
              <w:rPr>
                <w:sz w:val="22"/>
              </w:rPr>
            </w:pPr>
            <w:r>
              <w:rPr>
                <w:w w:val="105"/>
                <w:sz w:val="22"/>
              </w:rPr>
              <w:t>This job booking number is to be used for any query for this pick-up.</w:t>
            </w:r>
          </w:p>
        </w:tc>
        <w:tc>
          <w:tcPr>
            <w:tcW w:w="5016" w:type="dxa"/>
          </w:tcPr>
          <w:p>
            <w:pPr>
              <w:pStyle w:val="TableParagraph"/>
              <w:rPr>
                <w:sz w:val="20"/>
              </w:rPr>
            </w:pPr>
          </w:p>
          <w:p>
            <w:pPr>
              <w:pStyle w:val="TableParagraph"/>
              <w:rPr>
                <w:sz w:val="20"/>
              </w:rPr>
            </w:pPr>
          </w:p>
          <w:p>
            <w:pPr>
              <w:pStyle w:val="TableParagraph"/>
              <w:spacing w:before="4" w:after="1"/>
              <w:rPr>
                <w:sz w:val="18"/>
              </w:rPr>
            </w:pPr>
          </w:p>
          <w:p>
            <w:pPr>
              <w:pStyle w:val="TableParagraph"/>
              <w:ind w:left="1415"/>
              <w:rPr>
                <w:sz w:val="20"/>
              </w:rPr>
            </w:pPr>
            <w:r>
              <w:rPr>
                <w:sz w:val="20"/>
              </w:rPr>
              <w:drawing>
                <wp:inline distT="0" distB="0" distL="0" distR="0">
                  <wp:extent cx="1374342" cy="419100"/>
                  <wp:effectExtent l="0" t="0" r="0" b="0"/>
                  <wp:docPr id="9" name="image10.jpeg" descr=""/>
                  <wp:cNvGraphicFramePr>
                    <a:graphicFrameLocks noChangeAspect="1"/>
                  </wp:cNvGraphicFramePr>
                  <a:graphic>
                    <a:graphicData uri="http://schemas.openxmlformats.org/drawingml/2006/picture">
                      <pic:pic>
                        <pic:nvPicPr>
                          <pic:cNvPr id="10" name="image10.jpeg"/>
                          <pic:cNvPicPr/>
                        </pic:nvPicPr>
                        <pic:blipFill>
                          <a:blip r:embed="rId19" cstate="print"/>
                          <a:stretch>
                            <a:fillRect/>
                          </a:stretch>
                        </pic:blipFill>
                        <pic:spPr>
                          <a:xfrm>
                            <a:off x="0" y="0"/>
                            <a:ext cx="1374342" cy="419100"/>
                          </a:xfrm>
                          <a:prstGeom prst="rect">
                            <a:avLst/>
                          </a:prstGeom>
                        </pic:spPr>
                      </pic:pic>
                    </a:graphicData>
                  </a:graphic>
                </wp:inline>
              </w:drawing>
            </w:r>
            <w:r>
              <w:rPr>
                <w:sz w:val="20"/>
              </w:rPr>
            </w:r>
          </w:p>
        </w:tc>
      </w:tr>
    </w:tbl>
    <w:p>
      <w:pPr>
        <w:spacing w:after="0"/>
        <w:rPr>
          <w:sz w:val="20"/>
        </w:rPr>
        <w:sectPr>
          <w:pgSz w:w="11910" w:h="16840"/>
          <w:pgMar w:header="0" w:footer="858" w:top="940" w:bottom="1060" w:left="740" w:right="580"/>
        </w:sectPr>
      </w:pPr>
    </w:p>
    <w:p>
      <w:pPr>
        <w:pStyle w:val="Heading3"/>
        <w:spacing w:before="63"/>
      </w:pPr>
      <w:bookmarkStart w:name="_TOC_250028" w:id="20"/>
      <w:bookmarkEnd w:id="20"/>
      <w:r>
        <w:rPr>
          <w:w w:val="120"/>
        </w:rPr>
        <w:t>Marking home page</w:t>
      </w:r>
    </w:p>
    <w:p>
      <w:pPr>
        <w:pStyle w:val="BodyText"/>
        <w:spacing w:before="120"/>
        <w:ind w:left="392" w:right="580"/>
      </w:pPr>
      <w:r>
        <w:rPr>
          <w:w w:val="110"/>
        </w:rPr>
        <w:t>When you log in and click on Marking Home page, the top area of the screen displays messages to markers, which you should always check. From the Marking Home page, you will see the link to your Marking Pages.</w:t>
      </w:r>
    </w:p>
    <w:p>
      <w:pPr>
        <w:pStyle w:val="BodyText"/>
        <w:spacing w:before="1"/>
      </w:pPr>
    </w:p>
    <w:p>
      <w:pPr>
        <w:pStyle w:val="BodyText"/>
        <w:spacing w:line="252" w:lineRule="exact"/>
        <w:ind w:left="392"/>
      </w:pPr>
      <w:r>
        <w:rPr>
          <w:w w:val="110"/>
        </w:rPr>
        <w:t>Select ‘Marker Home’</w:t>
      </w:r>
    </w:p>
    <w:p>
      <w:pPr>
        <w:pStyle w:val="BodyText"/>
        <w:ind w:left="392" w:right="769"/>
      </w:pPr>
      <w:r>
        <w:rPr>
          <w:w w:val="110"/>
        </w:rPr>
        <w:t>The top area of the screen is reserved for general messages to all markers, personal messages about reallocated portfolios, or specific notifications to you.</w:t>
      </w:r>
    </w:p>
    <w:p>
      <w:pPr>
        <w:pStyle w:val="BodyText"/>
        <w:spacing w:before="4"/>
        <w:rPr>
          <w:sz w:val="23"/>
        </w:rPr>
      </w:pPr>
    </w:p>
    <w:p>
      <w:pPr>
        <w:pStyle w:val="BodyText"/>
        <w:spacing w:line="252" w:lineRule="exact"/>
        <w:ind w:left="392"/>
      </w:pPr>
      <w:r>
        <w:rPr>
          <w:w w:val="110"/>
        </w:rPr>
        <w:t>‘View your Details’</w:t>
      </w:r>
    </w:p>
    <w:p>
      <w:pPr>
        <w:pStyle w:val="BodyText"/>
        <w:ind w:left="392" w:right="614"/>
        <w:jc w:val="both"/>
      </w:pPr>
      <w:r>
        <w:rPr>
          <w:w w:val="110"/>
        </w:rPr>
        <w:t>This screen allows you to change personal details such as e-mail and phone numbers, and update address information. Once you have entered this area, please review your information. If you need to make changes, click on either the marker details or address ‘Edit’ links.</w:t>
      </w:r>
    </w:p>
    <w:p>
      <w:pPr>
        <w:pStyle w:val="BodyText"/>
        <w:spacing w:before="4"/>
        <w:rPr>
          <w:sz w:val="23"/>
        </w:rPr>
      </w:pPr>
    </w:p>
    <w:p>
      <w:pPr>
        <w:pStyle w:val="BodyText"/>
        <w:ind w:left="392"/>
      </w:pPr>
      <w:r>
        <w:rPr>
          <w:w w:val="115"/>
        </w:rPr>
        <w:t>‘Marking Pages for Marker Code xxxx’</w:t>
      </w:r>
    </w:p>
    <w:p>
      <w:pPr>
        <w:pStyle w:val="BodyText"/>
        <w:spacing w:before="1"/>
        <w:ind w:left="392" w:right="674"/>
      </w:pPr>
      <w:r>
        <w:rPr>
          <w:w w:val="105"/>
        </w:rPr>
        <w:t>All </w:t>
      </w:r>
      <w:r>
        <w:rPr>
          <w:w w:val="110"/>
        </w:rPr>
        <w:t>the entries allocated to you </w:t>
      </w:r>
      <w:r>
        <w:rPr>
          <w:w w:val="105"/>
        </w:rPr>
        <w:t>will </w:t>
      </w:r>
      <w:r>
        <w:rPr>
          <w:w w:val="110"/>
        </w:rPr>
        <w:t>appear here. </w:t>
      </w:r>
      <w:r>
        <w:rPr>
          <w:w w:val="105"/>
        </w:rPr>
        <w:t>If </w:t>
      </w:r>
      <w:r>
        <w:rPr>
          <w:w w:val="110"/>
        </w:rPr>
        <w:t>you have more than one marker code, separate pages </w:t>
      </w:r>
      <w:r>
        <w:rPr>
          <w:w w:val="105"/>
        </w:rPr>
        <w:t>will </w:t>
      </w:r>
      <w:r>
        <w:rPr>
          <w:w w:val="110"/>
        </w:rPr>
        <w:t>be allocated for each marker code you may have. </w:t>
      </w:r>
      <w:r>
        <w:rPr>
          <w:w w:val="105"/>
        </w:rPr>
        <w:t>If </w:t>
      </w:r>
      <w:r>
        <w:rPr>
          <w:w w:val="110"/>
        </w:rPr>
        <w:t>your marker pages are not visible contact NZQA earlier rather than later.</w:t>
      </w:r>
    </w:p>
    <w:p>
      <w:pPr>
        <w:pStyle w:val="BodyText"/>
        <w:spacing w:before="4"/>
        <w:rPr>
          <w:sz w:val="23"/>
        </w:rPr>
      </w:pPr>
    </w:p>
    <w:p>
      <w:pPr>
        <w:pStyle w:val="BodyText"/>
        <w:spacing w:line="252" w:lineRule="exact"/>
        <w:ind w:left="392"/>
      </w:pPr>
      <w:r>
        <w:rPr>
          <w:w w:val="115"/>
        </w:rPr>
        <w:t>‘Allocated Entries for Marker Code xxxx’</w:t>
      </w:r>
    </w:p>
    <w:p>
      <w:pPr>
        <w:pStyle w:val="BodyText"/>
        <w:ind w:left="392" w:right="514"/>
      </w:pPr>
      <w:r>
        <w:rPr>
          <w:w w:val="110"/>
        </w:rPr>
        <w:t>This</w:t>
      </w:r>
      <w:r>
        <w:rPr>
          <w:spacing w:val="-7"/>
          <w:w w:val="110"/>
        </w:rPr>
        <w:t> </w:t>
      </w:r>
      <w:r>
        <w:rPr>
          <w:w w:val="110"/>
        </w:rPr>
        <w:t>option</w:t>
      </w:r>
      <w:r>
        <w:rPr>
          <w:spacing w:val="-6"/>
          <w:w w:val="110"/>
        </w:rPr>
        <w:t> </w:t>
      </w:r>
      <w:r>
        <w:rPr>
          <w:w w:val="105"/>
        </w:rPr>
        <w:t>will</w:t>
      </w:r>
      <w:r>
        <w:rPr>
          <w:spacing w:val="-7"/>
          <w:w w:val="105"/>
        </w:rPr>
        <w:t> </w:t>
      </w:r>
      <w:r>
        <w:rPr>
          <w:w w:val="110"/>
        </w:rPr>
        <w:t>only</w:t>
      </w:r>
      <w:r>
        <w:rPr>
          <w:spacing w:val="-8"/>
          <w:w w:val="110"/>
        </w:rPr>
        <w:t> </w:t>
      </w:r>
      <w:r>
        <w:rPr>
          <w:w w:val="110"/>
        </w:rPr>
        <w:t>appear</w:t>
      </w:r>
      <w:r>
        <w:rPr>
          <w:spacing w:val="-6"/>
          <w:w w:val="110"/>
        </w:rPr>
        <w:t> </w:t>
      </w:r>
      <w:r>
        <w:rPr>
          <w:w w:val="110"/>
        </w:rPr>
        <w:t>if</w:t>
      </w:r>
      <w:r>
        <w:rPr>
          <w:spacing w:val="-5"/>
          <w:w w:val="110"/>
        </w:rPr>
        <w:t> </w:t>
      </w:r>
      <w:r>
        <w:rPr>
          <w:w w:val="110"/>
        </w:rPr>
        <w:t>portfolios</w:t>
      </w:r>
      <w:r>
        <w:rPr>
          <w:spacing w:val="-4"/>
          <w:w w:val="110"/>
        </w:rPr>
        <w:t> </w:t>
      </w:r>
      <w:r>
        <w:rPr>
          <w:w w:val="110"/>
        </w:rPr>
        <w:t>are</w:t>
      </w:r>
      <w:r>
        <w:rPr>
          <w:spacing w:val="-7"/>
          <w:w w:val="110"/>
        </w:rPr>
        <w:t> </w:t>
      </w:r>
      <w:r>
        <w:rPr>
          <w:w w:val="110"/>
        </w:rPr>
        <w:t>allocated</w:t>
      </w:r>
      <w:r>
        <w:rPr>
          <w:spacing w:val="-9"/>
          <w:w w:val="110"/>
        </w:rPr>
        <w:t> </w:t>
      </w:r>
      <w:r>
        <w:rPr>
          <w:w w:val="110"/>
        </w:rPr>
        <w:t>to</w:t>
      </w:r>
      <w:r>
        <w:rPr>
          <w:spacing w:val="-8"/>
          <w:w w:val="110"/>
        </w:rPr>
        <w:t> </w:t>
      </w:r>
      <w:r>
        <w:rPr>
          <w:w w:val="110"/>
        </w:rPr>
        <w:t>you</w:t>
      </w:r>
      <w:r>
        <w:rPr>
          <w:spacing w:val="-5"/>
          <w:w w:val="110"/>
        </w:rPr>
        <w:t> </w:t>
      </w:r>
      <w:r>
        <w:rPr>
          <w:w w:val="110"/>
        </w:rPr>
        <w:t>after</w:t>
      </w:r>
      <w:r>
        <w:rPr>
          <w:spacing w:val="-7"/>
          <w:w w:val="110"/>
        </w:rPr>
        <w:t> </w:t>
      </w:r>
      <w:r>
        <w:rPr>
          <w:w w:val="110"/>
        </w:rPr>
        <w:t>your</w:t>
      </w:r>
      <w:r>
        <w:rPr>
          <w:spacing w:val="-7"/>
          <w:w w:val="110"/>
        </w:rPr>
        <w:t> </w:t>
      </w:r>
      <w:r>
        <w:rPr>
          <w:w w:val="110"/>
        </w:rPr>
        <w:t>marker</w:t>
      </w:r>
      <w:r>
        <w:rPr>
          <w:spacing w:val="-7"/>
          <w:w w:val="110"/>
        </w:rPr>
        <w:t> </w:t>
      </w:r>
      <w:r>
        <w:rPr>
          <w:w w:val="110"/>
        </w:rPr>
        <w:t>pages</w:t>
      </w:r>
      <w:r>
        <w:rPr>
          <w:spacing w:val="-5"/>
          <w:w w:val="110"/>
        </w:rPr>
        <w:t> </w:t>
      </w:r>
      <w:r>
        <w:rPr>
          <w:w w:val="110"/>
        </w:rPr>
        <w:t>were</w:t>
      </w:r>
      <w:r>
        <w:rPr>
          <w:spacing w:val="-8"/>
          <w:w w:val="110"/>
        </w:rPr>
        <w:t> </w:t>
      </w:r>
      <w:r>
        <w:rPr>
          <w:w w:val="110"/>
        </w:rPr>
        <w:t>set</w:t>
      </w:r>
      <w:r>
        <w:rPr>
          <w:spacing w:val="-4"/>
          <w:w w:val="110"/>
        </w:rPr>
        <w:t> </w:t>
      </w:r>
      <w:r>
        <w:rPr>
          <w:w w:val="110"/>
        </w:rPr>
        <w:t>up.</w:t>
      </w:r>
      <w:r>
        <w:rPr>
          <w:spacing w:val="-9"/>
          <w:w w:val="110"/>
        </w:rPr>
        <w:t> </w:t>
      </w:r>
      <w:r>
        <w:rPr>
          <w:w w:val="110"/>
        </w:rPr>
        <w:t>A message indicating that additional portfolios have been allocated, </w:t>
      </w:r>
      <w:r>
        <w:rPr>
          <w:w w:val="105"/>
        </w:rPr>
        <w:t>will </w:t>
      </w:r>
      <w:r>
        <w:rPr>
          <w:w w:val="110"/>
        </w:rPr>
        <w:t>appear </w:t>
      </w:r>
      <w:r>
        <w:rPr>
          <w:w w:val="105"/>
        </w:rPr>
        <w:t>in </w:t>
      </w:r>
      <w:r>
        <w:rPr>
          <w:w w:val="110"/>
        </w:rPr>
        <w:t>your personal messages.</w:t>
      </w:r>
    </w:p>
    <w:p>
      <w:pPr>
        <w:pStyle w:val="BodyText"/>
        <w:spacing w:before="9"/>
        <w:rPr>
          <w:sz w:val="20"/>
        </w:rPr>
      </w:pPr>
    </w:p>
    <w:p>
      <w:pPr>
        <w:pStyle w:val="BodyText"/>
        <w:ind w:left="392" w:right="769"/>
      </w:pPr>
      <w:r>
        <w:rPr>
          <w:w w:val="110"/>
        </w:rPr>
        <w:t>When you enter this page, the additional entries that have been allocated to you will appear in school name order.</w:t>
      </w:r>
    </w:p>
    <w:p>
      <w:pPr>
        <w:pStyle w:val="BodyText"/>
        <w:spacing w:before="10"/>
        <w:rPr>
          <w:sz w:val="20"/>
        </w:rPr>
      </w:pPr>
    </w:p>
    <w:p>
      <w:pPr>
        <w:pStyle w:val="BodyText"/>
        <w:ind w:left="392" w:right="769"/>
      </w:pPr>
      <w:r>
        <w:rPr>
          <w:w w:val="105"/>
        </w:rPr>
        <w:t>Supplementary entries with a result will appear at the bottom of the list; those with no result will appear at the top. You may select one or many for result entry.</w:t>
      </w:r>
    </w:p>
    <w:p>
      <w:pPr>
        <w:pStyle w:val="BodyText"/>
        <w:spacing w:before="11"/>
        <w:rPr>
          <w:sz w:val="20"/>
        </w:rPr>
      </w:pPr>
    </w:p>
    <w:p>
      <w:pPr>
        <w:pStyle w:val="BodyText"/>
        <w:spacing w:line="252" w:lineRule="exact"/>
        <w:ind w:left="392"/>
      </w:pPr>
      <w:r>
        <w:rPr>
          <w:w w:val="115"/>
        </w:rPr>
        <w:t>‘Unallocated Entries’</w:t>
      </w:r>
    </w:p>
    <w:p>
      <w:pPr>
        <w:pStyle w:val="BodyText"/>
        <w:ind w:left="392" w:right="769"/>
      </w:pPr>
      <w:r>
        <w:rPr>
          <w:w w:val="110"/>
        </w:rPr>
        <w:t>If, for any reason, you receive portfolios to mark and they do not appear on the Marking Pages, you may capture their results using this option.</w:t>
      </w:r>
    </w:p>
    <w:p>
      <w:pPr>
        <w:spacing w:after="0"/>
        <w:sectPr>
          <w:pgSz w:w="11910" w:h="16840"/>
          <w:pgMar w:header="0" w:footer="858" w:top="940" w:bottom="1060" w:left="740" w:right="580"/>
        </w:sectPr>
      </w:pPr>
    </w:p>
    <w:p>
      <w:pPr>
        <w:pStyle w:val="Heading3"/>
        <w:spacing w:before="63"/>
      </w:pPr>
      <w:bookmarkStart w:name="_TOC_250027" w:id="21"/>
      <w:bookmarkEnd w:id="21"/>
      <w:r>
        <w:rPr>
          <w:w w:val="120"/>
        </w:rPr>
        <w:t>Marking pages</w:t>
      </w:r>
    </w:p>
    <w:p>
      <w:pPr>
        <w:pStyle w:val="BodyText"/>
        <w:spacing w:before="120"/>
        <w:ind w:left="392" w:right="769"/>
      </w:pPr>
      <w:r>
        <w:rPr>
          <w:w w:val="110"/>
        </w:rPr>
        <w:t>Below is an example of the online Marking pages, with explanations. This is best read in association with the open marking page.</w:t>
      </w:r>
    </w:p>
    <w:p>
      <w:pPr>
        <w:pStyle w:val="BodyText"/>
        <w:rPr>
          <w:sz w:val="20"/>
        </w:rPr>
      </w:pPr>
    </w:p>
    <w:p>
      <w:pPr>
        <w:pStyle w:val="BodyText"/>
        <w:spacing w:before="9"/>
        <w:rPr>
          <w:sz w:val="10"/>
        </w:rPr>
      </w:pPr>
      <w:r>
        <w:rPr/>
        <w:pict>
          <v:group style="position:absolute;margin-left:57.719997pt;margin-top:8.184351pt;width:447pt;height:347.8pt;mso-position-horizontal-relative:page;mso-position-vertical-relative:paragraph;z-index:-736;mso-wrap-distance-left:0;mso-wrap-distance-right:0" coordorigin="1154,164" coordsize="8940,6956">
            <v:shape style="position:absolute;left:1164;top:173;width:7378;height:6936" type="#_x0000_t75" stroked="false">
              <v:imagedata r:id="rId20" o:title=""/>
            </v:shape>
            <v:shape style="position:absolute;left:1154;top:163;width:7397;height:6956" coordorigin="1154,164" coordsize="7397,6956" path="m8551,7119l1154,7119,1154,164,8551,164,8551,168,1164,168,1159,173,1164,173,1164,7109,1159,7109,1164,7114,8551,7114,8551,7119xm1164,173l1159,173,1164,168,1164,173xm8542,173l1164,173,1164,168,8542,168,8542,173xm8542,7114l8542,168,8546,173,8551,173,8551,7109,8546,7109,8542,7114xm8551,173l8546,173,8542,168,8551,168,8551,173xm1164,7114l1159,7109,1164,7109,1164,7114xm8542,7114l1164,7114,1164,7109,8542,7109,8542,7114xm8551,7114l8542,7114,8546,7109,8551,7109,8551,7114xe" filled="true" fillcolor="#000000" stroked="false">
              <v:path arrowok="t"/>
              <v:fill type="solid"/>
            </v:shape>
            <v:shape style="position:absolute;left:9110;top:281;width:956;height:706" type="#_x0000_t75" stroked="false">
              <v:imagedata r:id="rId21" o:title=""/>
            </v:shape>
            <v:shape style="position:absolute;left:8544;top:610;width:771;height:120" coordorigin="8544,610" coordsize="771,120" path="m8664,730l8544,672,8664,610,8664,663,8645,663,8645,680,8664,680,8664,730xm8664,680l8664,663,9314,660,9314,675,8664,680xm8645,680l8645,663,8664,663,8664,680,8645,680xm8664,680l8645,680,8664,680,8664,680xe" filled="true" fillcolor="#000000" stroked="false">
              <v:path arrowok="t"/>
              <v:fill type="solid"/>
            </v:shape>
            <v:shape style="position:absolute;left:9100;top:2503;width:951;height:711" type="#_x0000_t75" stroked="false">
              <v:imagedata r:id="rId22" o:title=""/>
            </v:shape>
            <v:shape style="position:absolute;left:8527;top:2803;width:692;height:120" coordorigin="8527,2804" coordsize="692,120" path="m8647,2924l8527,2864,8647,2804,8647,2856,8628,2856,8628,2873,8647,2873,8647,2924xm8647,2873l8628,2873,8628,2856,8647,2856,8647,2873xm9218,2873l8647,2873,8647,2856,9218,2856,9218,2873xe" filled="true" fillcolor="#000000" stroked="false">
              <v:path arrowok="t"/>
              <v:fill type="solid"/>
            </v:shape>
            <v:shape style="position:absolute;left:9124;top:4130;width:951;height:711" type="#_x0000_t75" stroked="false">
              <v:imagedata r:id="rId22" o:title=""/>
            </v:shape>
            <v:shape style="position:absolute;left:8551;top:4433;width:692;height:120" coordorigin="8551,4433" coordsize="692,120" path="m8671,4553l8551,4493,8671,4433,8671,4486,8652,4486,8652,4500,8671,4500,8671,4553xm8671,4500l8652,4500,8652,4486,8671,4486,8671,4500xm9242,4500l8671,4500,8671,4486,9242,4486,9242,4500xe" filled="true" fillcolor="#000000" stroked="false">
              <v:path arrowok="t"/>
              <v:fill type="solid"/>
            </v:shape>
            <v:shape style="position:absolute;left:9139;top:5090;width:956;height:711" type="#_x0000_t75" stroked="false">
              <v:imagedata r:id="rId23" o:title=""/>
            </v:shape>
            <v:shape style="position:absolute;left:8563;top:5330;width:692;height:120" coordorigin="8563,5331" coordsize="692,120" path="m8683,5451l8563,5391,8683,5331,8683,5384,8664,5384,8664,5398,8683,5398,8683,5451xm8683,5398l8664,5398,8664,5384,8683,5384,8683,5398xm9254,5398l8683,5398,8683,5384,9254,5384,9254,5398xe" filled="true" fillcolor="#000000" stroked="false">
              <v:path arrowok="t"/>
              <v:fill type="solid"/>
            </v:shape>
            <v:shape style="position:absolute;left:3823;top:797;width:5405;height:1150" coordorigin="3823,797" coordsize="5405,1150" path="m3929,915l3823,833,3953,797,3943,845,3922,845,3919,860,3939,864,3929,915xm3939,864l3919,860,3922,845,3942,849,3939,864xm3942,849l3922,845,3943,845,3942,849xm9226,1947l3939,864,3942,849,9228,1932,9226,1947xe" filled="true" fillcolor="#000000" stroked="false">
              <v:path arrowok="t"/>
              <v:fill type="solid"/>
            </v:shape>
            <v:shape style="position:absolute;left:9004;top:1553;width:917;height:965" type="#_x0000_t75" stroked="false">
              <v:imagedata r:id="rId24" o:title=""/>
            </v:shape>
            <v:shape style="position:absolute;left:9129;top:6242;width:951;height:711" type="#_x0000_t75" stroked="false">
              <v:imagedata r:id="rId22" o:title=""/>
            </v:shape>
            <v:shape style="position:absolute;left:8551;top:6482;width:692;height:120" coordorigin="8551,6483" coordsize="692,120" path="m8671,6603l8551,6543,8671,6483,8671,6536,8652,6536,8652,6550,8671,6550,8671,6603xm8671,6550l8652,6550,8652,6536,8671,6536,8671,6550xm9242,6550l8671,6550,8671,6536,9242,6536,9242,6550xe" filled="true" fillcolor="#000000" stroked="false">
              <v:path arrowok="t"/>
              <v:fill type="solid"/>
            </v:shape>
            <v:shape style="position:absolute;left:9396;top:310;width:393;height:620" type="#_x0000_t202" filled="false" stroked="false">
              <v:textbox inset="0,0,0,0">
                <w:txbxContent>
                  <w:p>
                    <w:pPr>
                      <w:spacing w:line="619" w:lineRule="exact" w:before="0"/>
                      <w:ind w:left="0" w:right="0" w:firstLine="0"/>
                      <w:jc w:val="left"/>
                      <w:rPr>
                        <w:sz w:val="56"/>
                      </w:rPr>
                    </w:pPr>
                    <w:r>
                      <w:rPr>
                        <w:w w:val="92"/>
                        <w:sz w:val="56"/>
                      </w:rPr>
                      <w:t>A</w:t>
                    </w:r>
                  </w:p>
                </w:txbxContent>
              </v:textbox>
              <w10:wrap type="none"/>
            </v:shape>
            <v:shape style="position:absolute;left:9372;top:1585;width:457;height:1572" type="#_x0000_t202" filled="false" stroked="false">
              <v:textbox inset="0,0,0,0">
                <w:txbxContent>
                  <w:p>
                    <w:pPr>
                      <w:spacing w:line="619" w:lineRule="exact" w:before="0"/>
                      <w:ind w:left="63" w:right="0" w:firstLine="0"/>
                      <w:jc w:val="left"/>
                      <w:rPr>
                        <w:sz w:val="56"/>
                      </w:rPr>
                    </w:pPr>
                    <w:r>
                      <w:rPr>
                        <w:w w:val="99"/>
                        <w:sz w:val="56"/>
                      </w:rPr>
                      <w:t>B</w:t>
                    </w:r>
                  </w:p>
                  <w:p>
                    <w:pPr>
                      <w:spacing w:before="308"/>
                      <w:ind w:left="0" w:right="0" w:firstLine="0"/>
                      <w:jc w:val="left"/>
                      <w:rPr>
                        <w:sz w:val="56"/>
                      </w:rPr>
                    </w:pPr>
                    <w:r>
                      <w:rPr>
                        <w:w w:val="108"/>
                        <w:sz w:val="56"/>
                      </w:rPr>
                      <w:t>C</w:t>
                    </w:r>
                  </w:p>
                </w:txbxContent>
              </v:textbox>
              <w10:wrap type="none"/>
            </v:shape>
            <v:shape style="position:absolute;left:9396;top:4165;width:424;height:1575" type="#_x0000_t202" filled="false" stroked="false">
              <v:textbox inset="0,0,0,0">
                <w:txbxContent>
                  <w:p>
                    <w:pPr>
                      <w:spacing w:line="619" w:lineRule="exact" w:before="0"/>
                      <w:ind w:left="0" w:right="0" w:firstLine="0"/>
                      <w:jc w:val="left"/>
                      <w:rPr>
                        <w:sz w:val="56"/>
                      </w:rPr>
                    </w:pPr>
                    <w:r>
                      <w:rPr>
                        <w:w w:val="99"/>
                        <w:sz w:val="56"/>
                      </w:rPr>
                      <w:t>D</w:t>
                    </w:r>
                  </w:p>
                  <w:p>
                    <w:pPr>
                      <w:spacing w:before="311"/>
                      <w:ind w:left="31" w:right="0" w:firstLine="0"/>
                      <w:jc w:val="left"/>
                      <w:rPr>
                        <w:sz w:val="56"/>
                      </w:rPr>
                    </w:pPr>
                    <w:r>
                      <w:rPr>
                        <w:w w:val="108"/>
                        <w:sz w:val="56"/>
                      </w:rPr>
                      <w:t>E</w:t>
                    </w:r>
                  </w:p>
                </w:txbxContent>
              </v:textbox>
              <w10:wrap type="none"/>
            </v:shape>
            <v:shape style="position:absolute;left:9432;top:6272;width:362;height:620" type="#_x0000_t202" filled="false" stroked="false">
              <v:textbox inset="0,0,0,0">
                <w:txbxContent>
                  <w:p>
                    <w:pPr>
                      <w:spacing w:line="619" w:lineRule="exact" w:before="0"/>
                      <w:ind w:left="0" w:right="0" w:firstLine="0"/>
                      <w:jc w:val="left"/>
                      <w:rPr>
                        <w:sz w:val="56"/>
                      </w:rPr>
                    </w:pPr>
                    <w:r>
                      <w:rPr>
                        <w:w w:val="109"/>
                        <w:sz w:val="56"/>
                      </w:rPr>
                      <w:t>F</w:t>
                    </w:r>
                  </w:p>
                </w:txbxContent>
              </v:textbox>
              <w10:wrap type="none"/>
            </v:shape>
            <w10:wrap type="topAndBottom"/>
          </v:group>
        </w:pict>
      </w:r>
    </w:p>
    <w:p>
      <w:pPr>
        <w:pStyle w:val="BodyText"/>
        <w:spacing w:before="3"/>
        <w:rPr>
          <w:sz w:val="21"/>
        </w:rPr>
      </w:pPr>
    </w:p>
    <w:p>
      <w:pPr>
        <w:pStyle w:val="ListParagraph"/>
        <w:numPr>
          <w:ilvl w:val="0"/>
          <w:numId w:val="3"/>
        </w:numPr>
        <w:tabs>
          <w:tab w:pos="739" w:val="left" w:leader="none"/>
        </w:tabs>
        <w:spacing w:line="252" w:lineRule="exact" w:before="0" w:after="0"/>
        <w:ind w:left="738" w:right="0" w:hanging="346"/>
        <w:jc w:val="left"/>
        <w:rPr>
          <w:sz w:val="22"/>
        </w:rPr>
      </w:pPr>
      <w:r>
        <w:rPr>
          <w:w w:val="115"/>
          <w:sz w:val="22"/>
        </w:rPr>
        <w:t>Allocation</w:t>
      </w:r>
      <w:r>
        <w:rPr>
          <w:spacing w:val="-3"/>
          <w:w w:val="115"/>
          <w:sz w:val="22"/>
        </w:rPr>
        <w:t> </w:t>
      </w:r>
      <w:r>
        <w:rPr>
          <w:w w:val="115"/>
          <w:sz w:val="22"/>
        </w:rPr>
        <w:t>summary</w:t>
      </w:r>
    </w:p>
    <w:p>
      <w:pPr>
        <w:pStyle w:val="BodyText"/>
        <w:spacing w:line="252" w:lineRule="exact"/>
        <w:ind w:left="392"/>
      </w:pPr>
      <w:r>
        <w:rPr>
          <w:w w:val="110"/>
        </w:rPr>
        <w:t>This table provides a summary of the entries which should appear on your Marking Pages.</w:t>
      </w:r>
    </w:p>
    <w:p>
      <w:pPr>
        <w:pStyle w:val="BodyText"/>
        <w:spacing w:before="11"/>
        <w:rPr>
          <w:sz w:val="23"/>
        </w:rPr>
      </w:pPr>
    </w:p>
    <w:p>
      <w:pPr>
        <w:pStyle w:val="ListParagraph"/>
        <w:numPr>
          <w:ilvl w:val="0"/>
          <w:numId w:val="3"/>
        </w:numPr>
        <w:tabs>
          <w:tab w:pos="739" w:val="left" w:leader="none"/>
        </w:tabs>
        <w:spacing w:line="240" w:lineRule="auto" w:before="0" w:after="0"/>
        <w:ind w:left="739" w:right="0" w:hanging="347"/>
        <w:jc w:val="left"/>
        <w:rPr>
          <w:sz w:val="22"/>
        </w:rPr>
      </w:pPr>
      <w:r>
        <w:rPr>
          <w:w w:val="120"/>
          <w:sz w:val="22"/>
        </w:rPr>
        <w:t>Search for Candidate/Sort</w:t>
      </w:r>
      <w:r>
        <w:rPr>
          <w:spacing w:val="-17"/>
          <w:w w:val="120"/>
          <w:sz w:val="22"/>
        </w:rPr>
        <w:t> </w:t>
      </w:r>
      <w:r>
        <w:rPr>
          <w:w w:val="120"/>
          <w:sz w:val="22"/>
        </w:rPr>
        <w:t>Pages</w:t>
      </w:r>
    </w:p>
    <w:p>
      <w:pPr>
        <w:pStyle w:val="BodyText"/>
        <w:spacing w:before="1"/>
        <w:ind w:left="392"/>
      </w:pPr>
      <w:r>
        <w:rPr>
          <w:w w:val="105"/>
        </w:rPr>
        <w:t>The Search for Candidate link finds the location of a result entry line on your Marking Pages.</w:t>
      </w:r>
    </w:p>
    <w:p>
      <w:pPr>
        <w:pStyle w:val="BodyText"/>
        <w:spacing w:before="1"/>
      </w:pPr>
    </w:p>
    <w:p>
      <w:pPr>
        <w:pStyle w:val="BodyText"/>
        <w:ind w:left="392" w:right="769"/>
      </w:pPr>
      <w:r>
        <w:rPr>
          <w:w w:val="110"/>
        </w:rPr>
        <w:t>Do </w:t>
      </w:r>
      <w:r>
        <w:rPr>
          <w:w w:val="110"/>
          <w:u w:val="thick"/>
        </w:rPr>
        <w:t>not</w:t>
      </w:r>
      <w:r>
        <w:rPr>
          <w:w w:val="110"/>
        </w:rPr>
        <w:t> use the Sort Pages function unless your NAF asks you to, because the sort cannot be undone. It re-sorts the entries on the Marking Pages into Exam Centre Code/Exam Code order.</w:t>
      </w:r>
    </w:p>
    <w:p>
      <w:pPr>
        <w:pStyle w:val="BodyText"/>
        <w:spacing w:before="11"/>
        <w:rPr>
          <w:sz w:val="21"/>
        </w:rPr>
      </w:pPr>
    </w:p>
    <w:p>
      <w:pPr>
        <w:pStyle w:val="ListParagraph"/>
        <w:numPr>
          <w:ilvl w:val="0"/>
          <w:numId w:val="3"/>
        </w:numPr>
        <w:tabs>
          <w:tab w:pos="675" w:val="left" w:leader="none"/>
        </w:tabs>
        <w:spacing w:line="252" w:lineRule="exact" w:before="0" w:after="0"/>
        <w:ind w:left="674" w:right="0" w:hanging="282"/>
        <w:jc w:val="left"/>
        <w:rPr>
          <w:sz w:val="22"/>
        </w:rPr>
      </w:pPr>
      <w:r>
        <w:rPr>
          <w:w w:val="125"/>
          <w:sz w:val="22"/>
        </w:rPr>
        <w:t>Control Sheet</w:t>
      </w:r>
      <w:r>
        <w:rPr>
          <w:spacing w:val="-18"/>
          <w:w w:val="125"/>
          <w:sz w:val="22"/>
        </w:rPr>
        <w:t> </w:t>
      </w:r>
      <w:r>
        <w:rPr>
          <w:w w:val="125"/>
          <w:sz w:val="22"/>
        </w:rPr>
        <w:t>Pages</w:t>
      </w:r>
    </w:p>
    <w:p>
      <w:pPr>
        <w:pStyle w:val="BodyText"/>
        <w:ind w:left="392" w:right="580"/>
      </w:pPr>
      <w:r>
        <w:rPr>
          <w:w w:val="110"/>
        </w:rPr>
        <w:t>Each Control Sheet Page has one line. The number of portfolios per page is up to 40, shown in the Entries column.</w:t>
      </w:r>
    </w:p>
    <w:p>
      <w:pPr>
        <w:pStyle w:val="BodyText"/>
        <w:spacing w:before="1"/>
      </w:pPr>
    </w:p>
    <w:p>
      <w:pPr>
        <w:pStyle w:val="BodyText"/>
        <w:ind w:left="392" w:right="769"/>
      </w:pPr>
      <w:r>
        <w:rPr>
          <w:w w:val="105"/>
        </w:rPr>
        <w:t>The Page Order column shows either C if  the portfolios are in Answer Booklet  Control Sheet order,  or E if they are in Exam Centre Code/Exam Code</w:t>
      </w:r>
      <w:r>
        <w:rPr>
          <w:spacing w:val="57"/>
          <w:w w:val="105"/>
        </w:rPr>
        <w:t> </w:t>
      </w:r>
      <w:r>
        <w:rPr>
          <w:w w:val="105"/>
        </w:rPr>
        <w:t>order.</w:t>
      </w:r>
    </w:p>
    <w:p>
      <w:pPr>
        <w:pStyle w:val="BodyText"/>
        <w:spacing w:before="11"/>
        <w:rPr>
          <w:sz w:val="21"/>
        </w:rPr>
      </w:pPr>
    </w:p>
    <w:p>
      <w:pPr>
        <w:pStyle w:val="BodyText"/>
        <w:ind w:left="392" w:right="674"/>
      </w:pPr>
      <w:r>
        <w:rPr>
          <w:w w:val="110"/>
        </w:rPr>
        <w:t>As marking progresses, new pages may appear. NZQA may reallocate pages to you from another marker, they will appear at the end of your Control Sheet Pages, highlighted with a red asterisk.</w:t>
      </w:r>
    </w:p>
    <w:p>
      <w:pPr>
        <w:pStyle w:val="BodyText"/>
        <w:spacing w:before="11"/>
        <w:rPr>
          <w:sz w:val="21"/>
        </w:rPr>
      </w:pPr>
    </w:p>
    <w:p>
      <w:pPr>
        <w:pStyle w:val="ListParagraph"/>
        <w:numPr>
          <w:ilvl w:val="0"/>
          <w:numId w:val="3"/>
        </w:numPr>
        <w:tabs>
          <w:tab w:pos="674" w:val="left" w:leader="none"/>
        </w:tabs>
        <w:spacing w:line="252" w:lineRule="exact" w:before="0" w:after="0"/>
        <w:ind w:left="673" w:right="0" w:hanging="281"/>
        <w:jc w:val="left"/>
        <w:rPr>
          <w:sz w:val="22"/>
        </w:rPr>
      </w:pPr>
      <w:r>
        <w:rPr>
          <w:w w:val="120"/>
          <w:sz w:val="22"/>
        </w:rPr>
        <w:t>Guinea Pig</w:t>
      </w:r>
      <w:r>
        <w:rPr>
          <w:spacing w:val="-13"/>
          <w:w w:val="120"/>
          <w:sz w:val="22"/>
        </w:rPr>
        <w:t> </w:t>
      </w:r>
      <w:r>
        <w:rPr>
          <w:w w:val="120"/>
          <w:sz w:val="22"/>
        </w:rPr>
        <w:t>Pages</w:t>
      </w:r>
    </w:p>
    <w:p>
      <w:pPr>
        <w:pStyle w:val="BodyText"/>
        <w:ind w:left="392" w:right="769"/>
      </w:pPr>
      <w:r>
        <w:rPr>
          <w:w w:val="105"/>
        </w:rPr>
        <w:t>These pages will be present if guinea pigs are chosen for your standard. Your panel leader will give/send your guinea pig portfolios during/after the panel meeting. They are listed in school order.</w:t>
      </w:r>
    </w:p>
    <w:p>
      <w:pPr>
        <w:spacing w:after="0"/>
        <w:sectPr>
          <w:pgSz w:w="11910" w:h="16840"/>
          <w:pgMar w:header="0" w:footer="858" w:top="940" w:bottom="1060" w:left="740" w:right="580"/>
        </w:sectPr>
      </w:pPr>
    </w:p>
    <w:p>
      <w:pPr>
        <w:pStyle w:val="ListParagraph"/>
        <w:numPr>
          <w:ilvl w:val="0"/>
          <w:numId w:val="3"/>
        </w:numPr>
        <w:tabs>
          <w:tab w:pos="664" w:val="left" w:leader="none"/>
        </w:tabs>
        <w:spacing w:line="240" w:lineRule="auto" w:before="62" w:after="0"/>
        <w:ind w:left="663" w:right="0" w:hanging="271"/>
        <w:jc w:val="left"/>
        <w:rPr>
          <w:sz w:val="22"/>
        </w:rPr>
      </w:pPr>
      <w:r>
        <w:rPr>
          <w:w w:val="125"/>
          <w:sz w:val="22"/>
        </w:rPr>
        <w:t>Supplementary</w:t>
      </w:r>
      <w:r>
        <w:rPr>
          <w:spacing w:val="-12"/>
          <w:w w:val="125"/>
          <w:sz w:val="22"/>
        </w:rPr>
        <w:t> </w:t>
      </w:r>
      <w:r>
        <w:rPr>
          <w:w w:val="125"/>
          <w:sz w:val="22"/>
        </w:rPr>
        <w:t>Pages</w:t>
      </w:r>
    </w:p>
    <w:p>
      <w:pPr>
        <w:pStyle w:val="BodyText"/>
        <w:spacing w:before="2"/>
        <w:ind w:left="392" w:right="769"/>
      </w:pPr>
      <w:r>
        <w:rPr>
          <w:w w:val="110"/>
        </w:rPr>
        <w:t>Supplementary Pages will only appear when you reallocate a portfolio from another marker to yourself.</w:t>
      </w:r>
    </w:p>
    <w:p>
      <w:pPr>
        <w:pStyle w:val="BodyText"/>
        <w:spacing w:before="11"/>
        <w:rPr>
          <w:sz w:val="21"/>
        </w:rPr>
      </w:pPr>
    </w:p>
    <w:p>
      <w:pPr>
        <w:pStyle w:val="ListParagraph"/>
        <w:numPr>
          <w:ilvl w:val="0"/>
          <w:numId w:val="3"/>
        </w:numPr>
        <w:tabs>
          <w:tab w:pos="656" w:val="left" w:leader="none"/>
        </w:tabs>
        <w:spacing w:line="252" w:lineRule="exact" w:before="0" w:after="0"/>
        <w:ind w:left="655" w:right="0" w:hanging="263"/>
        <w:jc w:val="left"/>
        <w:rPr>
          <w:sz w:val="22"/>
        </w:rPr>
      </w:pPr>
      <w:r>
        <w:rPr>
          <w:w w:val="120"/>
          <w:sz w:val="22"/>
        </w:rPr>
        <w:t>Additional</w:t>
      </w:r>
      <w:r>
        <w:rPr>
          <w:spacing w:val="-3"/>
          <w:w w:val="120"/>
          <w:sz w:val="22"/>
        </w:rPr>
        <w:t> </w:t>
      </w:r>
      <w:r>
        <w:rPr>
          <w:w w:val="120"/>
          <w:sz w:val="22"/>
        </w:rPr>
        <w:t>Pages</w:t>
      </w:r>
    </w:p>
    <w:p>
      <w:pPr>
        <w:pStyle w:val="BodyText"/>
        <w:ind w:left="392" w:right="709"/>
        <w:jc w:val="both"/>
      </w:pPr>
      <w:r>
        <w:rPr>
          <w:w w:val="105"/>
        </w:rPr>
        <w:t>Additional Pages may appear from 13 December. Most of these pages will contain information for portfolios you did not receive. As soon as these pages appear, if you do  </w:t>
      </w:r>
      <w:r>
        <w:rPr>
          <w:spacing w:val="-2"/>
          <w:w w:val="105"/>
        </w:rPr>
        <w:t>not  </w:t>
      </w:r>
      <w:r>
        <w:rPr>
          <w:w w:val="105"/>
        </w:rPr>
        <w:t>have a  portfolio listed  on the page, enter Z in each</w:t>
      </w:r>
      <w:r>
        <w:rPr>
          <w:spacing w:val="44"/>
          <w:w w:val="105"/>
        </w:rPr>
        <w:t> </w:t>
      </w:r>
      <w:r>
        <w:rPr>
          <w:w w:val="105"/>
        </w:rPr>
        <w:t>column.</w:t>
      </w:r>
    </w:p>
    <w:p>
      <w:pPr>
        <w:pStyle w:val="BodyText"/>
      </w:pPr>
    </w:p>
    <w:p>
      <w:pPr>
        <w:pStyle w:val="BodyText"/>
        <w:ind w:left="392"/>
      </w:pPr>
      <w:r>
        <w:rPr>
          <w:w w:val="110"/>
        </w:rPr>
        <w:t>Other result entry lines may be for portfolios you have marked but could not enter elsewhere.</w:t>
      </w:r>
    </w:p>
    <w:p>
      <w:pPr>
        <w:pStyle w:val="BodyText"/>
      </w:pPr>
    </w:p>
    <w:p>
      <w:pPr>
        <w:pStyle w:val="BodyText"/>
        <w:spacing w:before="1"/>
        <w:ind w:left="392" w:right="580"/>
      </w:pPr>
      <w:r>
        <w:rPr>
          <w:w w:val="110"/>
        </w:rPr>
        <w:t>All pages, including Additional Pages, must show as Complete before the Final Submission button will appear.</w:t>
      </w:r>
    </w:p>
    <w:p>
      <w:pPr>
        <w:pStyle w:val="BodyText"/>
        <w:spacing w:before="4"/>
        <w:rPr>
          <w:sz w:val="31"/>
        </w:rPr>
      </w:pPr>
    </w:p>
    <w:p>
      <w:pPr>
        <w:pStyle w:val="Heading3"/>
        <w:spacing w:before="1"/>
      </w:pPr>
      <w:bookmarkStart w:name="_TOC_250026" w:id="22"/>
      <w:bookmarkEnd w:id="22"/>
      <w:r>
        <w:rPr>
          <w:w w:val="115"/>
        </w:rPr>
        <w:t>View your details</w:t>
      </w:r>
    </w:p>
    <w:p>
      <w:pPr>
        <w:pStyle w:val="BodyText"/>
        <w:spacing w:before="117"/>
        <w:ind w:left="392"/>
      </w:pPr>
      <w:r>
        <w:rPr>
          <w:w w:val="115"/>
        </w:rPr>
        <w:t>Change</w:t>
      </w:r>
      <w:r>
        <w:rPr>
          <w:spacing w:val="-15"/>
          <w:w w:val="115"/>
        </w:rPr>
        <w:t> </w:t>
      </w:r>
      <w:r>
        <w:rPr>
          <w:w w:val="115"/>
        </w:rPr>
        <w:t>personal</w:t>
      </w:r>
      <w:r>
        <w:rPr>
          <w:spacing w:val="-13"/>
          <w:w w:val="115"/>
        </w:rPr>
        <w:t> </w:t>
      </w:r>
      <w:r>
        <w:rPr>
          <w:w w:val="115"/>
        </w:rPr>
        <w:t>details</w:t>
      </w:r>
      <w:r>
        <w:rPr>
          <w:spacing w:val="-14"/>
          <w:w w:val="115"/>
        </w:rPr>
        <w:t> </w:t>
      </w:r>
      <w:r>
        <w:rPr>
          <w:w w:val="115"/>
        </w:rPr>
        <w:t>such</w:t>
      </w:r>
      <w:r>
        <w:rPr>
          <w:spacing w:val="-13"/>
          <w:w w:val="115"/>
        </w:rPr>
        <w:t> </w:t>
      </w:r>
      <w:r>
        <w:rPr>
          <w:w w:val="115"/>
        </w:rPr>
        <w:t>as</w:t>
      </w:r>
      <w:r>
        <w:rPr>
          <w:spacing w:val="-15"/>
          <w:w w:val="115"/>
        </w:rPr>
        <w:t> </w:t>
      </w:r>
      <w:r>
        <w:rPr>
          <w:w w:val="115"/>
        </w:rPr>
        <w:t>email,</w:t>
      </w:r>
      <w:r>
        <w:rPr>
          <w:spacing w:val="-13"/>
          <w:w w:val="115"/>
        </w:rPr>
        <w:t> </w:t>
      </w:r>
      <w:r>
        <w:rPr>
          <w:w w:val="115"/>
        </w:rPr>
        <w:t>phone</w:t>
      </w:r>
      <w:r>
        <w:rPr>
          <w:spacing w:val="-14"/>
          <w:w w:val="115"/>
        </w:rPr>
        <w:t> </w:t>
      </w:r>
      <w:r>
        <w:rPr>
          <w:w w:val="115"/>
        </w:rPr>
        <w:t>numbers,</w:t>
      </w:r>
      <w:r>
        <w:rPr>
          <w:spacing w:val="-11"/>
          <w:w w:val="115"/>
        </w:rPr>
        <w:t> </w:t>
      </w:r>
      <w:r>
        <w:rPr>
          <w:w w:val="115"/>
        </w:rPr>
        <w:t>and</w:t>
      </w:r>
      <w:r>
        <w:rPr>
          <w:spacing w:val="-14"/>
          <w:w w:val="115"/>
        </w:rPr>
        <w:t> </w:t>
      </w:r>
      <w:r>
        <w:rPr>
          <w:w w:val="115"/>
        </w:rPr>
        <w:t>addresses</w:t>
      </w:r>
      <w:r>
        <w:rPr>
          <w:spacing w:val="-15"/>
          <w:w w:val="115"/>
        </w:rPr>
        <w:t> </w:t>
      </w:r>
      <w:r>
        <w:rPr>
          <w:w w:val="115"/>
        </w:rPr>
        <w:t>using</w:t>
      </w:r>
      <w:r>
        <w:rPr>
          <w:spacing w:val="-14"/>
          <w:w w:val="115"/>
        </w:rPr>
        <w:t> </w:t>
      </w:r>
      <w:r>
        <w:rPr>
          <w:w w:val="115"/>
        </w:rPr>
        <w:t>this</w:t>
      </w:r>
      <w:r>
        <w:rPr>
          <w:spacing w:val="-13"/>
          <w:w w:val="115"/>
        </w:rPr>
        <w:t> </w:t>
      </w:r>
      <w:r>
        <w:rPr>
          <w:w w:val="115"/>
        </w:rPr>
        <w:t>screen.</w:t>
      </w:r>
      <w:r>
        <w:rPr>
          <w:spacing w:val="-14"/>
          <w:w w:val="115"/>
        </w:rPr>
        <w:t> </w:t>
      </w:r>
      <w:r>
        <w:rPr>
          <w:w w:val="115"/>
        </w:rPr>
        <w:t>After</w:t>
      </w:r>
      <w:r>
        <w:rPr>
          <w:spacing w:val="-12"/>
          <w:w w:val="115"/>
        </w:rPr>
        <w:t> </w:t>
      </w:r>
      <w:r>
        <w:rPr>
          <w:w w:val="115"/>
        </w:rPr>
        <w:t>28 October</w:t>
      </w:r>
      <w:r>
        <w:rPr>
          <w:spacing w:val="-13"/>
          <w:w w:val="115"/>
        </w:rPr>
        <w:t> </w:t>
      </w:r>
      <w:r>
        <w:rPr>
          <w:w w:val="115"/>
        </w:rPr>
        <w:t>you</w:t>
      </w:r>
      <w:r>
        <w:rPr>
          <w:spacing w:val="-15"/>
          <w:w w:val="115"/>
        </w:rPr>
        <w:t> </w:t>
      </w:r>
      <w:r>
        <w:rPr>
          <w:w w:val="115"/>
        </w:rPr>
        <w:t>must</w:t>
      </w:r>
      <w:r>
        <w:rPr>
          <w:spacing w:val="-13"/>
          <w:w w:val="115"/>
        </w:rPr>
        <w:t> </w:t>
      </w:r>
      <w:r>
        <w:rPr>
          <w:w w:val="115"/>
        </w:rPr>
        <w:t>notify</w:t>
      </w:r>
      <w:r>
        <w:rPr>
          <w:spacing w:val="-18"/>
          <w:w w:val="115"/>
        </w:rPr>
        <w:t> </w:t>
      </w:r>
      <w:r>
        <w:rPr>
          <w:w w:val="115"/>
        </w:rPr>
        <w:t>the</w:t>
      </w:r>
      <w:r>
        <w:rPr>
          <w:spacing w:val="-13"/>
          <w:w w:val="115"/>
        </w:rPr>
        <w:t> </w:t>
      </w:r>
      <w:r>
        <w:rPr>
          <w:w w:val="115"/>
        </w:rPr>
        <w:t>Marker</w:t>
      </w:r>
      <w:r>
        <w:rPr>
          <w:spacing w:val="-13"/>
          <w:w w:val="115"/>
        </w:rPr>
        <w:t> </w:t>
      </w:r>
      <w:r>
        <w:rPr>
          <w:w w:val="115"/>
        </w:rPr>
        <w:t>Helpline</w:t>
      </w:r>
      <w:r>
        <w:rPr>
          <w:spacing w:val="-13"/>
          <w:w w:val="115"/>
        </w:rPr>
        <w:t> </w:t>
      </w:r>
      <w:r>
        <w:rPr>
          <w:w w:val="115"/>
        </w:rPr>
        <w:t>on</w:t>
      </w:r>
      <w:r>
        <w:rPr>
          <w:spacing w:val="-13"/>
          <w:w w:val="115"/>
        </w:rPr>
        <w:t> </w:t>
      </w:r>
      <w:r>
        <w:rPr>
          <w:w w:val="115"/>
        </w:rPr>
        <w:t>0800</w:t>
      </w:r>
      <w:r>
        <w:rPr>
          <w:spacing w:val="-13"/>
          <w:w w:val="115"/>
        </w:rPr>
        <w:t> </w:t>
      </w:r>
      <w:r>
        <w:rPr>
          <w:w w:val="115"/>
        </w:rPr>
        <w:t>222</w:t>
      </w:r>
      <w:r>
        <w:rPr>
          <w:spacing w:val="-13"/>
          <w:w w:val="115"/>
        </w:rPr>
        <w:t> </w:t>
      </w:r>
      <w:r>
        <w:rPr>
          <w:w w:val="115"/>
        </w:rPr>
        <w:t>230</w:t>
      </w:r>
      <w:r>
        <w:rPr>
          <w:spacing w:val="-14"/>
          <w:w w:val="115"/>
        </w:rPr>
        <w:t> </w:t>
      </w:r>
      <w:r>
        <w:rPr>
          <w:w w:val="115"/>
        </w:rPr>
        <w:t>of</w:t>
      </w:r>
      <w:r>
        <w:rPr>
          <w:spacing w:val="-11"/>
          <w:w w:val="115"/>
        </w:rPr>
        <w:t> </w:t>
      </w:r>
      <w:r>
        <w:rPr>
          <w:w w:val="115"/>
        </w:rPr>
        <w:t>any</w:t>
      </w:r>
      <w:r>
        <w:rPr>
          <w:spacing w:val="-14"/>
          <w:w w:val="115"/>
        </w:rPr>
        <w:t> </w:t>
      </w:r>
      <w:r>
        <w:rPr>
          <w:w w:val="115"/>
        </w:rPr>
        <w:t>change</w:t>
      </w:r>
      <w:r>
        <w:rPr>
          <w:spacing w:val="-17"/>
          <w:w w:val="115"/>
        </w:rPr>
        <w:t> </w:t>
      </w:r>
      <w:r>
        <w:rPr>
          <w:w w:val="115"/>
        </w:rPr>
        <w:t>of</w:t>
      </w:r>
      <w:r>
        <w:rPr>
          <w:spacing w:val="-11"/>
          <w:w w:val="115"/>
        </w:rPr>
        <w:t> </w:t>
      </w:r>
      <w:r>
        <w:rPr>
          <w:w w:val="115"/>
        </w:rPr>
        <w:t>address.</w:t>
      </w:r>
    </w:p>
    <w:p>
      <w:pPr>
        <w:pStyle w:val="BodyText"/>
        <w:spacing w:before="10"/>
        <w:rPr>
          <w:sz w:val="20"/>
        </w:rPr>
      </w:pPr>
    </w:p>
    <w:p>
      <w:pPr>
        <w:pStyle w:val="BodyText"/>
        <w:spacing w:before="1"/>
        <w:ind w:left="392" w:right="769"/>
      </w:pPr>
      <w:r>
        <w:rPr>
          <w:w w:val="105"/>
        </w:rPr>
        <w:t>Online changes made after this date, will not change the address to which your portfolios will be delivered.</w:t>
      </w:r>
    </w:p>
    <w:p>
      <w:pPr>
        <w:pStyle w:val="BodyText"/>
        <w:spacing w:before="4"/>
        <w:rPr>
          <w:sz w:val="31"/>
        </w:rPr>
      </w:pPr>
    </w:p>
    <w:p>
      <w:pPr>
        <w:pStyle w:val="Heading3"/>
        <w:spacing w:before="1"/>
      </w:pPr>
      <w:bookmarkStart w:name="_TOC_250025" w:id="23"/>
      <w:bookmarkEnd w:id="23"/>
      <w:r>
        <w:rPr>
          <w:w w:val="120"/>
        </w:rPr>
        <w:t>Forms</w:t>
      </w:r>
    </w:p>
    <w:p>
      <w:pPr>
        <w:pStyle w:val="BodyText"/>
        <w:spacing w:before="117"/>
        <w:ind w:left="392" w:right="910"/>
      </w:pPr>
      <w:r>
        <w:rPr>
          <w:w w:val="110"/>
        </w:rPr>
        <w:t>Forms used during the marking and results entry process are available by clicking on the link(s) below, or at the end of these Guide Notes and Instructions.</w:t>
      </w:r>
    </w:p>
    <w:p>
      <w:pPr>
        <w:pStyle w:val="BodyText"/>
        <w:spacing w:before="4" w:after="1"/>
        <w:rPr>
          <w:sz w:val="10"/>
        </w:rPr>
      </w:pPr>
    </w:p>
    <w:tbl>
      <w:tblPr>
        <w:tblW w:w="0" w:type="auto"/>
        <w:jc w:val="left"/>
        <w:tblInd w:w="1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05"/>
        <w:gridCol w:w="3603"/>
      </w:tblGrid>
      <w:tr>
        <w:trPr>
          <w:trHeight w:val="493" w:hRule="atLeast"/>
        </w:trPr>
        <w:tc>
          <w:tcPr>
            <w:tcW w:w="3605" w:type="dxa"/>
            <w:shd w:val="clear" w:color="auto" w:fill="D8D8D8"/>
          </w:tcPr>
          <w:p>
            <w:pPr>
              <w:pStyle w:val="TableParagraph"/>
              <w:spacing w:before="121"/>
              <w:ind w:left="1507" w:right="1498"/>
              <w:jc w:val="center"/>
              <w:rPr>
                <w:sz w:val="22"/>
              </w:rPr>
            </w:pPr>
            <w:r>
              <w:rPr>
                <w:w w:val="115"/>
                <w:sz w:val="22"/>
              </w:rPr>
              <w:t>Form</w:t>
            </w:r>
          </w:p>
        </w:tc>
        <w:tc>
          <w:tcPr>
            <w:tcW w:w="3603" w:type="dxa"/>
            <w:shd w:val="clear" w:color="auto" w:fill="D8D8D8"/>
          </w:tcPr>
          <w:p>
            <w:pPr>
              <w:pStyle w:val="TableParagraph"/>
              <w:spacing w:before="121"/>
              <w:ind w:left="1359" w:right="1347"/>
              <w:jc w:val="center"/>
              <w:rPr>
                <w:sz w:val="22"/>
              </w:rPr>
            </w:pPr>
            <w:r>
              <w:rPr>
                <w:w w:val="110"/>
                <w:sz w:val="22"/>
              </w:rPr>
              <w:t>Delivery</w:t>
            </w:r>
          </w:p>
        </w:tc>
      </w:tr>
      <w:tr>
        <w:trPr>
          <w:trHeight w:val="491" w:hRule="atLeast"/>
        </w:trPr>
        <w:tc>
          <w:tcPr>
            <w:tcW w:w="3605" w:type="dxa"/>
          </w:tcPr>
          <w:p>
            <w:pPr>
              <w:pStyle w:val="TableParagraph"/>
              <w:spacing w:before="121"/>
              <w:ind w:left="107"/>
              <w:rPr>
                <w:sz w:val="22"/>
              </w:rPr>
            </w:pPr>
            <w:r>
              <w:rPr>
                <w:color w:val="0000FF"/>
                <w:w w:val="110"/>
                <w:sz w:val="22"/>
                <w:u w:val="single" w:color="0000FF"/>
              </w:rPr>
              <w:t>Pre-approved Travel Form</w:t>
            </w:r>
          </w:p>
        </w:tc>
        <w:tc>
          <w:tcPr>
            <w:tcW w:w="3603" w:type="dxa"/>
          </w:tcPr>
          <w:p>
            <w:pPr>
              <w:pStyle w:val="TableParagraph"/>
              <w:spacing w:before="121"/>
              <w:ind w:left="107"/>
              <w:rPr>
                <w:sz w:val="22"/>
              </w:rPr>
            </w:pPr>
            <w:r>
              <w:rPr>
                <w:color w:val="0000FF"/>
                <w:w w:val="110"/>
                <w:sz w:val="22"/>
                <w:u w:val="single" w:color="0000FF"/>
              </w:rPr>
              <w:t>Online Pre-approved Travel Form</w:t>
            </w:r>
          </w:p>
        </w:tc>
      </w:tr>
      <w:tr>
        <w:trPr>
          <w:trHeight w:val="494" w:hRule="atLeast"/>
        </w:trPr>
        <w:tc>
          <w:tcPr>
            <w:tcW w:w="3605" w:type="dxa"/>
          </w:tcPr>
          <w:p>
            <w:pPr>
              <w:pStyle w:val="TableParagraph"/>
              <w:spacing w:before="122"/>
              <w:ind w:left="107"/>
              <w:rPr>
                <w:sz w:val="20"/>
              </w:rPr>
            </w:pPr>
            <w:r>
              <w:rPr>
                <w:color w:val="0000FF"/>
                <w:w w:val="105"/>
                <w:sz w:val="20"/>
                <w:u w:val="single" w:color="0000FF"/>
              </w:rPr>
              <w:t>Irregular Answer Booklet Form</w:t>
            </w:r>
          </w:p>
        </w:tc>
        <w:tc>
          <w:tcPr>
            <w:tcW w:w="3603" w:type="dxa"/>
          </w:tcPr>
          <w:p>
            <w:pPr>
              <w:pStyle w:val="TableParagraph"/>
              <w:spacing w:before="123"/>
              <w:ind w:left="107"/>
              <w:rPr>
                <w:sz w:val="22"/>
              </w:rPr>
            </w:pPr>
            <w:r>
              <w:rPr>
                <w:w w:val="110"/>
                <w:sz w:val="22"/>
              </w:rPr>
              <w:t>Courier to your panel leader.</w:t>
            </w:r>
          </w:p>
        </w:tc>
      </w:tr>
      <w:tr>
        <w:trPr>
          <w:trHeight w:val="494" w:hRule="atLeast"/>
        </w:trPr>
        <w:tc>
          <w:tcPr>
            <w:tcW w:w="3605" w:type="dxa"/>
          </w:tcPr>
          <w:p>
            <w:pPr>
              <w:pStyle w:val="TableParagraph"/>
              <w:spacing w:before="121"/>
              <w:ind w:left="107"/>
              <w:rPr>
                <w:sz w:val="22"/>
              </w:rPr>
            </w:pPr>
            <w:r>
              <w:rPr>
                <w:color w:val="0000FF"/>
                <w:w w:val="110"/>
                <w:sz w:val="22"/>
                <w:u w:val="single" w:color="0000FF"/>
              </w:rPr>
              <w:t>Test Marking Summary Form</w:t>
            </w:r>
          </w:p>
        </w:tc>
        <w:tc>
          <w:tcPr>
            <w:tcW w:w="3603" w:type="dxa"/>
          </w:tcPr>
          <w:p>
            <w:pPr>
              <w:pStyle w:val="TableParagraph"/>
              <w:spacing w:before="121"/>
              <w:ind w:left="107"/>
              <w:rPr>
                <w:sz w:val="22"/>
              </w:rPr>
            </w:pPr>
            <w:r>
              <w:rPr>
                <w:w w:val="110"/>
                <w:sz w:val="22"/>
              </w:rPr>
              <w:t>Email to panel leader</w:t>
            </w:r>
          </w:p>
        </w:tc>
      </w:tr>
      <w:tr>
        <w:trPr>
          <w:trHeight w:val="745" w:hRule="atLeast"/>
        </w:trPr>
        <w:tc>
          <w:tcPr>
            <w:tcW w:w="3605" w:type="dxa"/>
          </w:tcPr>
          <w:p>
            <w:pPr>
              <w:pStyle w:val="TableParagraph"/>
              <w:spacing w:before="121"/>
              <w:ind w:left="107" w:right="19"/>
              <w:rPr>
                <w:sz w:val="22"/>
              </w:rPr>
            </w:pPr>
            <w:r>
              <w:rPr>
                <w:color w:val="0000FF"/>
                <w:w w:val="110"/>
                <w:sz w:val="22"/>
                <w:u w:val="single" w:color="0000FF"/>
              </w:rPr>
              <w:t>Supplementary Result</w:t>
            </w:r>
            <w:r>
              <w:rPr>
                <w:color w:val="0000FF"/>
                <w:w w:val="110"/>
                <w:sz w:val="22"/>
              </w:rPr>
              <w:t> </w:t>
            </w:r>
            <w:r>
              <w:rPr>
                <w:color w:val="0000FF"/>
                <w:w w:val="110"/>
                <w:sz w:val="22"/>
                <w:u w:val="single" w:color="0000FF"/>
              </w:rPr>
              <w:t>Sheet/Change of Result Sheet</w:t>
            </w:r>
          </w:p>
        </w:tc>
        <w:tc>
          <w:tcPr>
            <w:tcW w:w="3603" w:type="dxa"/>
          </w:tcPr>
          <w:p>
            <w:pPr>
              <w:pStyle w:val="TableParagraph"/>
              <w:spacing w:before="121"/>
              <w:ind w:left="107"/>
              <w:rPr>
                <w:sz w:val="22"/>
              </w:rPr>
            </w:pPr>
            <w:r>
              <w:rPr>
                <w:w w:val="105"/>
                <w:sz w:val="22"/>
              </w:rPr>
              <w:t>Email or courier to NZQA</w:t>
            </w:r>
          </w:p>
        </w:tc>
      </w:tr>
      <w:tr>
        <w:trPr>
          <w:trHeight w:val="491" w:hRule="atLeast"/>
        </w:trPr>
        <w:tc>
          <w:tcPr>
            <w:tcW w:w="3605" w:type="dxa"/>
          </w:tcPr>
          <w:p>
            <w:pPr>
              <w:pStyle w:val="TableParagraph"/>
              <w:spacing w:before="121"/>
              <w:ind w:left="107"/>
              <w:rPr>
                <w:sz w:val="22"/>
              </w:rPr>
            </w:pPr>
            <w:r>
              <w:rPr>
                <w:color w:val="0000FF"/>
                <w:w w:val="110"/>
                <w:sz w:val="22"/>
                <w:u w:val="single" w:color="0000FF"/>
              </w:rPr>
              <w:t>Marker Report Form</w:t>
            </w:r>
          </w:p>
        </w:tc>
        <w:tc>
          <w:tcPr>
            <w:tcW w:w="3603" w:type="dxa"/>
          </w:tcPr>
          <w:p>
            <w:pPr>
              <w:pStyle w:val="TableParagraph"/>
              <w:spacing w:before="121"/>
              <w:ind w:left="107"/>
              <w:rPr>
                <w:sz w:val="22"/>
              </w:rPr>
            </w:pPr>
            <w:r>
              <w:rPr>
                <w:w w:val="110"/>
                <w:sz w:val="22"/>
              </w:rPr>
              <w:t>Email to your panel leader</w:t>
            </w:r>
          </w:p>
        </w:tc>
      </w:tr>
      <w:tr>
        <w:trPr>
          <w:trHeight w:val="494" w:hRule="atLeast"/>
        </w:trPr>
        <w:tc>
          <w:tcPr>
            <w:tcW w:w="3605" w:type="dxa"/>
          </w:tcPr>
          <w:p>
            <w:pPr>
              <w:pStyle w:val="TableParagraph"/>
              <w:spacing w:before="121"/>
              <w:ind w:left="107"/>
              <w:rPr>
                <w:sz w:val="22"/>
              </w:rPr>
            </w:pPr>
            <w:r>
              <w:rPr>
                <w:color w:val="0000FF"/>
                <w:w w:val="105"/>
                <w:sz w:val="22"/>
                <w:u w:val="single" w:color="0000FF"/>
              </w:rPr>
              <w:t>Marking Evaluation Form.</w:t>
            </w:r>
          </w:p>
        </w:tc>
        <w:tc>
          <w:tcPr>
            <w:tcW w:w="3603" w:type="dxa"/>
          </w:tcPr>
          <w:p>
            <w:pPr>
              <w:pStyle w:val="TableParagraph"/>
              <w:spacing w:before="121"/>
              <w:ind w:left="107"/>
              <w:rPr>
                <w:sz w:val="22"/>
              </w:rPr>
            </w:pPr>
            <w:r>
              <w:rPr>
                <w:color w:val="0000FF"/>
                <w:w w:val="105"/>
                <w:sz w:val="22"/>
                <w:u w:val="single" w:color="0000FF"/>
              </w:rPr>
              <w:t>Online Marking Evaluation Form.</w:t>
            </w:r>
          </w:p>
        </w:tc>
      </w:tr>
    </w:tbl>
    <w:p>
      <w:pPr>
        <w:pStyle w:val="BodyText"/>
        <w:spacing w:before="5"/>
        <w:rPr>
          <w:sz w:val="31"/>
        </w:rPr>
      </w:pPr>
    </w:p>
    <w:p>
      <w:pPr>
        <w:pStyle w:val="Heading3"/>
      </w:pPr>
      <w:bookmarkStart w:name="_TOC_250024" w:id="24"/>
      <w:bookmarkEnd w:id="24"/>
      <w:r>
        <w:rPr>
          <w:w w:val="120"/>
        </w:rPr>
        <w:t>Entering results</w:t>
      </w:r>
    </w:p>
    <w:p>
      <w:pPr>
        <w:pStyle w:val="BodyText"/>
        <w:spacing w:before="118"/>
        <w:ind w:left="392"/>
      </w:pPr>
      <w:r>
        <w:rPr>
          <w:w w:val="115"/>
        </w:rPr>
        <w:t>Initial result</w:t>
      </w:r>
    </w:p>
    <w:p>
      <w:pPr>
        <w:pStyle w:val="ListParagraph"/>
        <w:numPr>
          <w:ilvl w:val="0"/>
          <w:numId w:val="2"/>
        </w:numPr>
        <w:tabs>
          <w:tab w:pos="749" w:val="left" w:leader="none"/>
          <w:tab w:pos="750" w:val="left" w:leader="none"/>
        </w:tabs>
        <w:spacing w:line="240" w:lineRule="auto" w:before="138" w:after="0"/>
        <w:ind w:left="749" w:right="0" w:hanging="357"/>
        <w:jc w:val="left"/>
        <w:rPr>
          <w:sz w:val="22"/>
        </w:rPr>
      </w:pPr>
      <w:r>
        <w:rPr>
          <w:w w:val="110"/>
          <w:sz w:val="22"/>
        </w:rPr>
        <w:t>All results must be entered from the assessment</w:t>
      </w:r>
      <w:r>
        <w:rPr>
          <w:spacing w:val="4"/>
          <w:w w:val="110"/>
          <w:sz w:val="22"/>
        </w:rPr>
        <w:t> </w:t>
      </w:r>
      <w:r>
        <w:rPr>
          <w:w w:val="110"/>
          <w:sz w:val="22"/>
        </w:rPr>
        <w:t>envelope.</w:t>
      </w:r>
    </w:p>
    <w:p>
      <w:pPr>
        <w:pStyle w:val="ListParagraph"/>
        <w:numPr>
          <w:ilvl w:val="0"/>
          <w:numId w:val="2"/>
        </w:numPr>
        <w:tabs>
          <w:tab w:pos="749" w:val="left" w:leader="none"/>
          <w:tab w:pos="750" w:val="left" w:leader="none"/>
        </w:tabs>
        <w:spacing w:line="240" w:lineRule="auto" w:before="134" w:after="0"/>
        <w:ind w:left="750" w:right="990" w:hanging="358"/>
        <w:jc w:val="left"/>
        <w:rPr>
          <w:sz w:val="22"/>
        </w:rPr>
      </w:pPr>
      <w:r>
        <w:rPr>
          <w:w w:val="105"/>
          <w:sz w:val="22"/>
        </w:rPr>
        <w:t>To enter results, click on Not started or In Progress on the relevant page listed in the Initial Entry</w:t>
      </w:r>
      <w:r>
        <w:rPr>
          <w:spacing w:val="23"/>
          <w:w w:val="105"/>
          <w:sz w:val="22"/>
        </w:rPr>
        <w:t> </w:t>
      </w:r>
      <w:r>
        <w:rPr>
          <w:w w:val="105"/>
          <w:sz w:val="22"/>
        </w:rPr>
        <w:t>column.</w:t>
      </w:r>
      <w:r>
        <w:rPr>
          <w:spacing w:val="27"/>
          <w:w w:val="105"/>
          <w:sz w:val="22"/>
        </w:rPr>
        <w:t> </w:t>
      </w:r>
      <w:r>
        <w:rPr>
          <w:w w:val="105"/>
          <w:sz w:val="22"/>
        </w:rPr>
        <w:t>This</w:t>
      </w:r>
      <w:r>
        <w:rPr>
          <w:spacing w:val="25"/>
          <w:w w:val="105"/>
          <w:sz w:val="22"/>
        </w:rPr>
        <w:t> </w:t>
      </w:r>
      <w:r>
        <w:rPr>
          <w:w w:val="105"/>
          <w:sz w:val="22"/>
        </w:rPr>
        <w:t>will</w:t>
      </w:r>
      <w:r>
        <w:rPr>
          <w:spacing w:val="26"/>
          <w:w w:val="105"/>
          <w:sz w:val="22"/>
        </w:rPr>
        <w:t> </w:t>
      </w:r>
      <w:r>
        <w:rPr>
          <w:w w:val="105"/>
          <w:sz w:val="22"/>
        </w:rPr>
        <w:t>display</w:t>
      </w:r>
      <w:r>
        <w:rPr>
          <w:spacing w:val="22"/>
          <w:w w:val="105"/>
          <w:sz w:val="22"/>
        </w:rPr>
        <w:t> </w:t>
      </w:r>
      <w:r>
        <w:rPr>
          <w:w w:val="105"/>
          <w:sz w:val="22"/>
        </w:rPr>
        <w:t>the</w:t>
      </w:r>
      <w:r>
        <w:rPr>
          <w:spacing w:val="26"/>
          <w:w w:val="105"/>
          <w:sz w:val="22"/>
        </w:rPr>
        <w:t> </w:t>
      </w:r>
      <w:r>
        <w:rPr>
          <w:w w:val="105"/>
          <w:sz w:val="22"/>
        </w:rPr>
        <w:t>entries</w:t>
      </w:r>
      <w:r>
        <w:rPr>
          <w:spacing w:val="25"/>
          <w:w w:val="105"/>
          <w:sz w:val="22"/>
        </w:rPr>
        <w:t> </w:t>
      </w:r>
      <w:r>
        <w:rPr>
          <w:w w:val="105"/>
          <w:sz w:val="22"/>
        </w:rPr>
        <w:t>on</w:t>
      </w:r>
      <w:r>
        <w:rPr>
          <w:spacing w:val="24"/>
          <w:w w:val="105"/>
          <w:sz w:val="22"/>
        </w:rPr>
        <w:t> </w:t>
      </w:r>
      <w:r>
        <w:rPr>
          <w:w w:val="105"/>
          <w:sz w:val="22"/>
        </w:rPr>
        <w:t>the</w:t>
      </w:r>
      <w:r>
        <w:rPr>
          <w:spacing w:val="21"/>
          <w:w w:val="105"/>
          <w:sz w:val="22"/>
        </w:rPr>
        <w:t> </w:t>
      </w:r>
      <w:r>
        <w:rPr>
          <w:w w:val="105"/>
          <w:sz w:val="22"/>
        </w:rPr>
        <w:t>Mark</w:t>
      </w:r>
      <w:r>
        <w:rPr>
          <w:spacing w:val="26"/>
          <w:w w:val="105"/>
          <w:sz w:val="22"/>
        </w:rPr>
        <w:t> </w:t>
      </w:r>
      <w:r>
        <w:rPr>
          <w:w w:val="105"/>
          <w:sz w:val="22"/>
        </w:rPr>
        <w:t>Sheet</w:t>
      </w:r>
      <w:r>
        <w:rPr>
          <w:spacing w:val="26"/>
          <w:w w:val="105"/>
          <w:sz w:val="22"/>
        </w:rPr>
        <w:t> </w:t>
      </w:r>
      <w:r>
        <w:rPr>
          <w:w w:val="105"/>
          <w:sz w:val="22"/>
        </w:rPr>
        <w:t>Entries</w:t>
      </w:r>
      <w:r>
        <w:rPr>
          <w:spacing w:val="26"/>
          <w:w w:val="105"/>
          <w:sz w:val="22"/>
        </w:rPr>
        <w:t> </w:t>
      </w:r>
      <w:r>
        <w:rPr>
          <w:w w:val="105"/>
          <w:sz w:val="22"/>
        </w:rPr>
        <w:t>page</w:t>
      </w:r>
      <w:r>
        <w:rPr>
          <w:spacing w:val="23"/>
          <w:w w:val="105"/>
          <w:sz w:val="22"/>
        </w:rPr>
        <w:t> </w:t>
      </w:r>
      <w:r>
        <w:rPr>
          <w:w w:val="105"/>
          <w:sz w:val="22"/>
        </w:rPr>
        <w:t>(see</w:t>
      </w:r>
      <w:r>
        <w:rPr>
          <w:spacing w:val="24"/>
          <w:w w:val="105"/>
          <w:sz w:val="22"/>
        </w:rPr>
        <w:t> </w:t>
      </w:r>
      <w:r>
        <w:rPr>
          <w:w w:val="105"/>
          <w:sz w:val="22"/>
        </w:rPr>
        <w:t>over</w:t>
      </w:r>
      <w:r>
        <w:rPr>
          <w:spacing w:val="27"/>
          <w:w w:val="105"/>
          <w:sz w:val="22"/>
        </w:rPr>
        <w:t> </w:t>
      </w:r>
      <w:r>
        <w:rPr>
          <w:w w:val="105"/>
          <w:sz w:val="22"/>
        </w:rPr>
        <w:t>page).</w:t>
      </w:r>
    </w:p>
    <w:p>
      <w:pPr>
        <w:pStyle w:val="ListParagraph"/>
        <w:numPr>
          <w:ilvl w:val="0"/>
          <w:numId w:val="2"/>
        </w:numPr>
        <w:tabs>
          <w:tab w:pos="749" w:val="left" w:leader="none"/>
          <w:tab w:pos="750" w:val="left" w:leader="none"/>
        </w:tabs>
        <w:spacing w:line="240" w:lineRule="auto" w:before="134" w:after="0"/>
        <w:ind w:left="750" w:right="1184" w:hanging="358"/>
        <w:jc w:val="left"/>
        <w:rPr>
          <w:sz w:val="22"/>
        </w:rPr>
      </w:pPr>
      <w:r>
        <w:rPr>
          <w:w w:val="110"/>
          <w:sz w:val="22"/>
        </w:rPr>
        <w:t>Some pages may have an initial status of In Progress where NZQA has entered a Y for a candidate who did not submit a</w:t>
      </w:r>
      <w:r>
        <w:rPr>
          <w:spacing w:val="-4"/>
          <w:w w:val="110"/>
          <w:sz w:val="22"/>
        </w:rPr>
        <w:t> </w:t>
      </w:r>
      <w:r>
        <w:rPr>
          <w:w w:val="110"/>
          <w:sz w:val="22"/>
        </w:rPr>
        <w:t>portfolio.</w:t>
      </w:r>
    </w:p>
    <w:p>
      <w:pPr>
        <w:pStyle w:val="ListParagraph"/>
        <w:numPr>
          <w:ilvl w:val="0"/>
          <w:numId w:val="2"/>
        </w:numPr>
        <w:tabs>
          <w:tab w:pos="749" w:val="left" w:leader="none"/>
          <w:tab w:pos="750" w:val="left" w:leader="none"/>
        </w:tabs>
        <w:spacing w:line="240" w:lineRule="auto" w:before="135" w:after="0"/>
        <w:ind w:left="750" w:right="722" w:hanging="358"/>
        <w:jc w:val="left"/>
        <w:rPr>
          <w:sz w:val="22"/>
        </w:rPr>
      </w:pPr>
      <w:r>
        <w:rPr>
          <w:w w:val="110"/>
          <w:sz w:val="22"/>
        </w:rPr>
        <w:t>If there are two separate lines on your Marking Pages for the same candidate, enter the result on one line and enter a Z (missing) on the other</w:t>
      </w:r>
      <w:r>
        <w:rPr>
          <w:spacing w:val="5"/>
          <w:w w:val="110"/>
          <w:sz w:val="22"/>
        </w:rPr>
        <w:t> </w:t>
      </w:r>
      <w:r>
        <w:rPr>
          <w:w w:val="110"/>
          <w:sz w:val="22"/>
        </w:rPr>
        <w:t>line.</w:t>
      </w:r>
    </w:p>
    <w:p>
      <w:pPr>
        <w:pStyle w:val="ListParagraph"/>
        <w:numPr>
          <w:ilvl w:val="0"/>
          <w:numId w:val="2"/>
        </w:numPr>
        <w:tabs>
          <w:tab w:pos="749" w:val="left" w:leader="none"/>
          <w:tab w:pos="750" w:val="left" w:leader="none"/>
        </w:tabs>
        <w:spacing w:line="240" w:lineRule="auto" w:before="135" w:after="0"/>
        <w:ind w:left="749" w:right="0" w:hanging="357"/>
        <w:jc w:val="left"/>
        <w:rPr>
          <w:sz w:val="22"/>
        </w:rPr>
      </w:pPr>
      <w:r>
        <w:rPr>
          <w:w w:val="110"/>
          <w:sz w:val="22"/>
        </w:rPr>
        <w:t>Any results entered on a page must be saved by clicking on</w:t>
      </w:r>
      <w:r>
        <w:rPr>
          <w:spacing w:val="15"/>
          <w:w w:val="110"/>
          <w:sz w:val="22"/>
        </w:rPr>
        <w:t> </w:t>
      </w:r>
      <w:r>
        <w:rPr>
          <w:w w:val="110"/>
          <w:sz w:val="22"/>
        </w:rPr>
        <w:t>Save.</w:t>
      </w:r>
    </w:p>
    <w:p>
      <w:pPr>
        <w:spacing w:after="0" w:line="240" w:lineRule="auto"/>
        <w:jc w:val="left"/>
        <w:rPr>
          <w:sz w:val="22"/>
        </w:rPr>
        <w:sectPr>
          <w:footerReference w:type="default" r:id="rId25"/>
          <w:pgSz w:w="11910" w:h="16840"/>
          <w:pgMar w:footer="863" w:header="0" w:top="940" w:bottom="1060" w:left="740" w:right="580"/>
          <w:pgNumType w:start="20"/>
        </w:sectPr>
      </w:pPr>
    </w:p>
    <w:p>
      <w:pPr>
        <w:pStyle w:val="ListParagraph"/>
        <w:numPr>
          <w:ilvl w:val="0"/>
          <w:numId w:val="2"/>
        </w:numPr>
        <w:tabs>
          <w:tab w:pos="749" w:val="left" w:leader="none"/>
          <w:tab w:pos="750" w:val="left" w:leader="none"/>
        </w:tabs>
        <w:spacing w:line="252" w:lineRule="exact" w:before="79" w:after="0"/>
        <w:ind w:left="749" w:right="0" w:hanging="357"/>
        <w:jc w:val="left"/>
        <w:rPr>
          <w:sz w:val="22"/>
        </w:rPr>
      </w:pPr>
      <w:r>
        <w:rPr>
          <w:w w:val="110"/>
          <w:sz w:val="22"/>
        </w:rPr>
        <w:t>When you have entered a full page of results and Saved, the status on the Marking</w:t>
      </w:r>
      <w:r>
        <w:rPr>
          <w:spacing w:val="3"/>
          <w:w w:val="110"/>
          <w:sz w:val="22"/>
        </w:rPr>
        <w:t> </w:t>
      </w:r>
      <w:r>
        <w:rPr>
          <w:w w:val="110"/>
          <w:sz w:val="22"/>
        </w:rPr>
        <w:t>Pages</w:t>
      </w:r>
    </w:p>
    <w:p>
      <w:pPr>
        <w:pStyle w:val="BodyText"/>
        <w:spacing w:line="252" w:lineRule="exact"/>
        <w:ind w:left="750"/>
      </w:pPr>
      <w:r>
        <w:rPr>
          <w:w w:val="110"/>
        </w:rPr>
        <w:t>screen will show as Complete.</w:t>
      </w:r>
    </w:p>
    <w:p>
      <w:pPr>
        <w:pStyle w:val="BodyText"/>
        <w:spacing w:before="9"/>
        <w:rPr>
          <w:sz w:val="20"/>
        </w:rPr>
      </w:pPr>
    </w:p>
    <w:p>
      <w:pPr>
        <w:pStyle w:val="BodyText"/>
        <w:ind w:left="392"/>
      </w:pPr>
      <w:r>
        <w:rPr>
          <w:w w:val="120"/>
        </w:rPr>
        <w:t>Double entry</w:t>
      </w:r>
    </w:p>
    <w:p>
      <w:pPr>
        <w:pStyle w:val="ListParagraph"/>
        <w:numPr>
          <w:ilvl w:val="0"/>
          <w:numId w:val="2"/>
        </w:numPr>
        <w:tabs>
          <w:tab w:pos="749" w:val="left" w:leader="none"/>
          <w:tab w:pos="750" w:val="left" w:leader="none"/>
        </w:tabs>
        <w:spacing w:line="240" w:lineRule="auto" w:before="136" w:after="0"/>
        <w:ind w:left="750" w:right="914" w:hanging="358"/>
        <w:jc w:val="left"/>
        <w:rPr>
          <w:sz w:val="22"/>
        </w:rPr>
      </w:pPr>
      <w:r>
        <w:rPr>
          <w:w w:val="105"/>
          <w:sz w:val="22"/>
        </w:rPr>
        <w:t>Results for each page must be entered twice. Your panel leader will give approval to double enter your</w:t>
      </w:r>
      <w:r>
        <w:rPr>
          <w:spacing w:val="8"/>
          <w:w w:val="105"/>
          <w:sz w:val="22"/>
        </w:rPr>
        <w:t> </w:t>
      </w:r>
      <w:r>
        <w:rPr>
          <w:w w:val="105"/>
          <w:sz w:val="22"/>
        </w:rPr>
        <w:t>results.</w:t>
      </w:r>
    </w:p>
    <w:p>
      <w:pPr>
        <w:pStyle w:val="ListParagraph"/>
        <w:numPr>
          <w:ilvl w:val="0"/>
          <w:numId w:val="2"/>
        </w:numPr>
        <w:tabs>
          <w:tab w:pos="749" w:val="left" w:leader="none"/>
          <w:tab w:pos="750" w:val="left" w:leader="none"/>
        </w:tabs>
        <w:spacing w:line="240" w:lineRule="auto" w:before="135" w:after="0"/>
        <w:ind w:left="750" w:right="635" w:hanging="358"/>
        <w:jc w:val="left"/>
        <w:rPr>
          <w:sz w:val="22"/>
        </w:rPr>
      </w:pPr>
      <w:r>
        <w:rPr>
          <w:w w:val="110"/>
          <w:sz w:val="22"/>
        </w:rPr>
        <w:t>All double result entry must be entered from the assessment envelope to ensure the correct result is entered. Results should not be copied from the Answer Booklet Control Sheet or other record, as any error will be</w:t>
      </w:r>
      <w:r>
        <w:rPr>
          <w:spacing w:val="1"/>
          <w:w w:val="110"/>
          <w:sz w:val="22"/>
        </w:rPr>
        <w:t> </w:t>
      </w:r>
      <w:r>
        <w:rPr>
          <w:w w:val="110"/>
          <w:sz w:val="22"/>
        </w:rPr>
        <w:t>repeated.</w:t>
      </w:r>
    </w:p>
    <w:p>
      <w:pPr>
        <w:pStyle w:val="ListParagraph"/>
        <w:numPr>
          <w:ilvl w:val="0"/>
          <w:numId w:val="2"/>
        </w:numPr>
        <w:tabs>
          <w:tab w:pos="749" w:val="left" w:leader="none"/>
          <w:tab w:pos="750" w:val="left" w:leader="none"/>
        </w:tabs>
        <w:spacing w:line="240" w:lineRule="auto" w:before="136" w:after="0"/>
        <w:ind w:left="750" w:right="720" w:hanging="358"/>
        <w:jc w:val="left"/>
        <w:rPr>
          <w:sz w:val="22"/>
        </w:rPr>
      </w:pPr>
      <w:r>
        <w:rPr>
          <w:w w:val="110"/>
          <w:sz w:val="22"/>
        </w:rPr>
        <w:t>Click on Not Started or In Progress for the page shown in the Double Result column to</w:t>
      </w:r>
      <w:r>
        <w:rPr>
          <w:spacing w:val="-42"/>
          <w:w w:val="110"/>
          <w:sz w:val="22"/>
        </w:rPr>
        <w:t> </w:t>
      </w:r>
      <w:r>
        <w:rPr>
          <w:w w:val="110"/>
          <w:sz w:val="22"/>
        </w:rPr>
        <w:t>double enter the results. The process for double result entry is the same as the process for entering initial results.</w:t>
      </w:r>
    </w:p>
    <w:p>
      <w:pPr>
        <w:pStyle w:val="ListParagraph"/>
        <w:numPr>
          <w:ilvl w:val="0"/>
          <w:numId w:val="2"/>
        </w:numPr>
        <w:tabs>
          <w:tab w:pos="749" w:val="left" w:leader="none"/>
          <w:tab w:pos="750" w:val="left" w:leader="none"/>
        </w:tabs>
        <w:spacing w:line="240" w:lineRule="auto" w:before="134" w:after="0"/>
        <w:ind w:left="750" w:right="1173" w:hanging="358"/>
        <w:jc w:val="left"/>
        <w:rPr>
          <w:sz w:val="22"/>
        </w:rPr>
      </w:pPr>
      <w:r>
        <w:rPr>
          <w:w w:val="110"/>
          <w:sz w:val="22"/>
        </w:rPr>
        <w:t>Once you have completed making entries on a page, click on Save to continue. If the Mismatch screen is displayed, the double result entry displayed does not match the initial result and you need to recheck the portfolio and enter the correct</w:t>
      </w:r>
      <w:r>
        <w:rPr>
          <w:spacing w:val="12"/>
          <w:w w:val="110"/>
          <w:sz w:val="22"/>
        </w:rPr>
        <w:t> </w:t>
      </w:r>
      <w:r>
        <w:rPr>
          <w:w w:val="110"/>
          <w:sz w:val="22"/>
        </w:rPr>
        <w:t>result.</w:t>
      </w:r>
    </w:p>
    <w:p>
      <w:pPr>
        <w:pStyle w:val="BodyText"/>
        <w:spacing w:before="9"/>
        <w:rPr>
          <w:sz w:val="20"/>
        </w:rPr>
      </w:pPr>
    </w:p>
    <w:p>
      <w:pPr>
        <w:pStyle w:val="BodyText"/>
        <w:ind w:left="392"/>
      </w:pPr>
      <w:r>
        <w:rPr/>
        <w:pict>
          <v:group style="position:absolute;margin-left:56.639999pt;margin-top:18.549515pt;width:481.95pt;height:352.1pt;mso-position-horizontal-relative:page;mso-position-vertical-relative:paragraph;z-index:-712;mso-wrap-distance-left:0;mso-wrap-distance-right:0" coordorigin="1133,371" coordsize="9639,7042">
            <v:line style="position:absolute" from="1133,376" to="10762,376" stroked="true" strokeweight=".479989pt" strokecolor="#000000">
              <v:stroke dashstyle="solid"/>
            </v:line>
            <v:line style="position:absolute" from="1138,381" to="1138,7413" stroked="true" strokeweight=".480005pt" strokecolor="#000000">
              <v:stroke dashstyle="solid"/>
            </v:line>
            <v:line style="position:absolute" from="1133,7408" to="10762,7408" stroked="true" strokeweight=".480011pt" strokecolor="#000000">
              <v:stroke dashstyle="solid"/>
            </v:line>
            <v:line style="position:absolute" from="10766,371" to="10766,7413" stroked="true" strokeweight=".480011pt" strokecolor="#000000">
              <v:stroke dashstyle="solid"/>
            </v:line>
            <v:shape style="position:absolute;left:1828;top:534;width:8264;height:6723" type="#_x0000_t75" stroked="false">
              <v:imagedata r:id="rId26" o:title=""/>
            </v:shape>
            <v:shape style="position:absolute;left:1819;top:522;width:8283;height:6744" coordorigin="1819,522" coordsize="8283,6744" path="m10102,7266l1819,7266,1819,522,10102,522,10102,527,1829,527,1824,534,1829,534,1829,7257,1824,7257,1829,7261,10102,7261,10102,7266xm1829,534l1824,534,1829,527,1829,534xm10092,534l1829,534,1829,527,10092,527,10092,534xm10092,7261l10092,527,10097,534,10102,534,10102,7257,10097,7257,10092,7261xm10102,534l10097,534,10092,527,10102,527,10102,534xm1829,7261l1824,7257,1829,7257,1829,7261xm10092,7261l1829,7261,1829,7257,10092,7257,10092,7261xm10102,7261l10092,7261,10097,7257,10102,7257,10102,7261xe" filled="true" fillcolor="#4f80bc" stroked="false">
              <v:path arrowok="t"/>
              <v:fill type="solid"/>
            </v:shape>
            <w10:wrap type="topAndBottom"/>
          </v:group>
        </w:pict>
      </w:r>
      <w:r>
        <w:rPr>
          <w:w w:val="120"/>
        </w:rPr>
        <w:t>Mark sheet entries page</w:t>
      </w:r>
    </w:p>
    <w:p>
      <w:pPr>
        <w:pStyle w:val="BodyText"/>
        <w:spacing w:before="3"/>
        <w:rPr>
          <w:sz w:val="10"/>
        </w:rPr>
      </w:pPr>
    </w:p>
    <w:p>
      <w:pPr>
        <w:pStyle w:val="BodyText"/>
        <w:spacing w:before="91"/>
        <w:ind w:left="392"/>
      </w:pPr>
      <w:r>
        <w:rPr>
          <w:w w:val="105"/>
        </w:rPr>
        <w:t>Mismatch screen</w:t>
      </w:r>
    </w:p>
    <w:p>
      <w:pPr>
        <w:pStyle w:val="BodyText"/>
        <w:spacing w:before="134"/>
        <w:ind w:left="392" w:right="769"/>
      </w:pPr>
      <w:r>
        <w:rPr>
          <w:w w:val="110"/>
        </w:rPr>
        <w:t>The Mismatch screen shows any results that do not match. You must make a third and final decision about what the correct results should be. Enter the confirmed result and click Save. You will then return to the Marking Pages screen.</w:t>
      </w:r>
    </w:p>
    <w:p>
      <w:pPr>
        <w:spacing w:after="0"/>
        <w:sectPr>
          <w:pgSz w:w="11910" w:h="16840"/>
          <w:pgMar w:header="0" w:footer="863" w:top="940" w:bottom="1060" w:left="740" w:right="580"/>
        </w:sectPr>
      </w:pPr>
    </w:p>
    <w:p>
      <w:pPr>
        <w:pStyle w:val="BodyText"/>
        <w:spacing w:before="62"/>
        <w:ind w:left="392"/>
      </w:pPr>
      <w:r>
        <w:rPr>
          <w:w w:val="125"/>
        </w:rPr>
        <w:t>Late changes</w:t>
      </w:r>
    </w:p>
    <w:p>
      <w:pPr>
        <w:pStyle w:val="BodyText"/>
        <w:spacing w:before="122"/>
        <w:ind w:left="392" w:right="674"/>
      </w:pPr>
      <w:r>
        <w:rPr>
          <w:w w:val="110"/>
        </w:rPr>
        <w:t>Before the Final Submission button has been clicked, you are able to make late changes to results even if a page is shown as Complete. To make </w:t>
      </w:r>
      <w:r>
        <w:rPr>
          <w:w w:val="105"/>
        </w:rPr>
        <w:t>final </w:t>
      </w:r>
      <w:r>
        <w:rPr>
          <w:w w:val="110"/>
        </w:rPr>
        <w:t>changes to results, click on Complete under the Double Entry column, re-enter the results and click Save.</w:t>
      </w:r>
    </w:p>
    <w:p>
      <w:pPr>
        <w:pStyle w:val="BodyText"/>
        <w:spacing w:before="3"/>
        <w:rPr>
          <w:sz w:val="31"/>
        </w:rPr>
      </w:pPr>
    </w:p>
    <w:p>
      <w:pPr>
        <w:pStyle w:val="BodyText"/>
        <w:ind w:left="392"/>
      </w:pPr>
      <w:r>
        <w:rPr>
          <w:w w:val="120"/>
        </w:rPr>
        <w:t>Final submission</w:t>
      </w:r>
    </w:p>
    <w:p>
      <w:pPr>
        <w:pStyle w:val="BodyText"/>
        <w:spacing w:before="119"/>
        <w:ind w:left="392" w:right="1078"/>
      </w:pPr>
      <w:r>
        <w:rPr>
          <w:w w:val="110"/>
        </w:rPr>
        <w:t>The Final Submission button will appear on screen from 13 December when all your Marking Pages, including and Additional Pages, are completed.</w:t>
      </w:r>
    </w:p>
    <w:p>
      <w:pPr>
        <w:pStyle w:val="BodyText"/>
        <w:spacing w:before="10"/>
        <w:rPr>
          <w:sz w:val="20"/>
        </w:rPr>
      </w:pPr>
    </w:p>
    <w:p>
      <w:pPr>
        <w:pStyle w:val="BodyText"/>
        <w:ind w:left="392"/>
      </w:pPr>
      <w:r>
        <w:rPr>
          <w:w w:val="105"/>
        </w:rPr>
        <w:t>Your panel leader will give approval to click the Final Submission button.</w:t>
      </w:r>
    </w:p>
    <w:p>
      <w:pPr>
        <w:pStyle w:val="BodyText"/>
        <w:rPr>
          <w:sz w:val="21"/>
        </w:rPr>
      </w:pPr>
    </w:p>
    <w:p>
      <w:pPr>
        <w:pStyle w:val="BodyText"/>
        <w:ind w:left="392" w:right="910"/>
      </w:pPr>
      <w:r>
        <w:rPr>
          <w:w w:val="105"/>
        </w:rPr>
        <w:t>When  you are certain no more edits are required, click the Final Submission button. You are asked     to confirm, if you  answer Yes,  your  entries are complete. The message ‘The  final  submission  is now complete’. Pages can  be  viewed but not edited’ will appear. If  you need  to unlock the pages,  call the Marker</w:t>
      </w:r>
      <w:r>
        <w:rPr>
          <w:spacing w:val="11"/>
          <w:w w:val="105"/>
        </w:rPr>
        <w:t> </w:t>
      </w:r>
      <w:r>
        <w:rPr>
          <w:w w:val="105"/>
        </w:rPr>
        <w:t>Helpline.</w:t>
      </w:r>
    </w:p>
    <w:p>
      <w:pPr>
        <w:pStyle w:val="BodyText"/>
        <w:spacing w:before="8"/>
        <w:rPr>
          <w:sz w:val="20"/>
        </w:rPr>
      </w:pPr>
    </w:p>
    <w:p>
      <w:pPr>
        <w:pStyle w:val="BodyText"/>
        <w:spacing w:before="1"/>
        <w:ind w:left="392" w:right="619"/>
      </w:pPr>
      <w:r>
        <w:rPr>
          <w:w w:val="110"/>
        </w:rPr>
        <w:t>All results must either be entered online or recorded using a </w:t>
      </w:r>
      <w:r>
        <w:rPr>
          <w:color w:val="0000FF"/>
          <w:w w:val="110"/>
          <w:u w:val="single" w:color="0000FF"/>
        </w:rPr>
        <w:t>Supplementary Result Sheet/Change</w:t>
      </w:r>
      <w:r>
        <w:rPr>
          <w:color w:val="0000FF"/>
          <w:w w:val="110"/>
        </w:rPr>
        <w:t> </w:t>
      </w:r>
      <w:r>
        <w:rPr>
          <w:color w:val="0000FF"/>
          <w:w w:val="110"/>
          <w:u w:val="single" w:color="0000FF"/>
        </w:rPr>
        <w:t>of Result Sheet</w:t>
      </w:r>
      <w:r>
        <w:rPr>
          <w:color w:val="0000FF"/>
          <w:w w:val="110"/>
        </w:rPr>
        <w:t> </w:t>
      </w:r>
      <w:r>
        <w:rPr>
          <w:w w:val="110"/>
        </w:rPr>
        <w:t>and email to </w:t>
      </w:r>
      <w:hyperlink r:id="rId7">
        <w:r>
          <w:rPr>
            <w:w w:val="110"/>
          </w:rPr>
          <w:t>examinations@nzqa.govt.nz </w:t>
        </w:r>
      </w:hyperlink>
      <w:r>
        <w:rPr>
          <w:w w:val="110"/>
        </w:rPr>
        <w:t>at the completion of marking or send the physical copy to Level 14, NZQA, PO Box 160, Wellington 6140. Keep a copy for your records.</w:t>
      </w:r>
    </w:p>
    <w:p>
      <w:pPr>
        <w:pStyle w:val="BodyText"/>
        <w:rPr>
          <w:sz w:val="21"/>
        </w:rPr>
      </w:pPr>
    </w:p>
    <w:p>
      <w:pPr>
        <w:pStyle w:val="BodyText"/>
        <w:ind w:left="392"/>
      </w:pPr>
      <w:r>
        <w:rPr>
          <w:w w:val="110"/>
        </w:rPr>
        <w:t>20 December is the date for final submission of results for all examinations.</w:t>
      </w:r>
    </w:p>
    <w:p>
      <w:pPr>
        <w:pStyle w:val="BodyText"/>
        <w:spacing w:before="3"/>
        <w:rPr>
          <w:sz w:val="31"/>
        </w:rPr>
      </w:pPr>
    </w:p>
    <w:p>
      <w:pPr>
        <w:pStyle w:val="Heading3"/>
        <w:spacing w:before="1"/>
      </w:pPr>
      <w:bookmarkStart w:name="_TOC_250023" w:id="25"/>
      <w:bookmarkEnd w:id="25"/>
      <w:r>
        <w:rPr>
          <w:w w:val="115"/>
        </w:rPr>
        <w:t>Portfolios requested by NZQA</w:t>
      </w:r>
    </w:p>
    <w:p>
      <w:pPr>
        <w:pStyle w:val="BodyText"/>
        <w:spacing w:line="370" w:lineRule="atLeast" w:before="3"/>
        <w:ind w:left="392" w:right="890"/>
      </w:pPr>
      <w:r>
        <w:rPr>
          <w:w w:val="110"/>
        </w:rPr>
        <w:t>Portfolios may be requested by NZQA in relation to possible breaches of examination rules. The</w:t>
      </w:r>
      <w:r>
        <w:rPr>
          <w:spacing w:val="-5"/>
          <w:w w:val="110"/>
        </w:rPr>
        <w:t> </w:t>
      </w:r>
      <w:r>
        <w:rPr>
          <w:w w:val="110"/>
        </w:rPr>
        <w:t>message</w:t>
      </w:r>
      <w:r>
        <w:rPr>
          <w:spacing w:val="-2"/>
          <w:w w:val="110"/>
        </w:rPr>
        <w:t> </w:t>
      </w:r>
      <w:r>
        <w:rPr>
          <w:w w:val="110"/>
        </w:rPr>
        <w:t>‘NZQA</w:t>
      </w:r>
      <w:r>
        <w:rPr>
          <w:spacing w:val="-1"/>
          <w:w w:val="110"/>
        </w:rPr>
        <w:t> </w:t>
      </w:r>
      <w:r>
        <w:rPr>
          <w:w w:val="110"/>
        </w:rPr>
        <w:t>requires</w:t>
      </w:r>
      <w:r>
        <w:rPr>
          <w:spacing w:val="-1"/>
          <w:w w:val="110"/>
        </w:rPr>
        <w:t> </w:t>
      </w:r>
      <w:r>
        <w:rPr>
          <w:w w:val="110"/>
        </w:rPr>
        <w:t>the</w:t>
      </w:r>
      <w:r>
        <w:rPr>
          <w:spacing w:val="-5"/>
          <w:w w:val="110"/>
        </w:rPr>
        <w:t> </w:t>
      </w:r>
      <w:r>
        <w:rPr>
          <w:w w:val="110"/>
        </w:rPr>
        <w:t>return</w:t>
      </w:r>
      <w:r>
        <w:rPr>
          <w:spacing w:val="-8"/>
          <w:w w:val="110"/>
        </w:rPr>
        <w:t> </w:t>
      </w:r>
      <w:r>
        <w:rPr>
          <w:w w:val="110"/>
        </w:rPr>
        <w:t>of</w:t>
      </w:r>
      <w:r>
        <w:rPr>
          <w:spacing w:val="-1"/>
          <w:w w:val="110"/>
        </w:rPr>
        <w:t> </w:t>
      </w:r>
      <w:r>
        <w:rPr>
          <w:w w:val="110"/>
        </w:rPr>
        <w:t>booklets’</w:t>
      </w:r>
      <w:r>
        <w:rPr>
          <w:spacing w:val="-8"/>
          <w:w w:val="110"/>
        </w:rPr>
        <w:t> </w:t>
      </w:r>
      <w:r>
        <w:rPr>
          <w:w w:val="110"/>
        </w:rPr>
        <w:t>will</w:t>
      </w:r>
      <w:r>
        <w:rPr>
          <w:spacing w:val="-4"/>
          <w:w w:val="110"/>
        </w:rPr>
        <w:t> </w:t>
      </w:r>
      <w:r>
        <w:rPr>
          <w:w w:val="110"/>
        </w:rPr>
        <w:t>appear</w:t>
      </w:r>
      <w:r>
        <w:rPr>
          <w:spacing w:val="-3"/>
          <w:w w:val="110"/>
        </w:rPr>
        <w:t> </w:t>
      </w:r>
      <w:r>
        <w:rPr>
          <w:w w:val="110"/>
        </w:rPr>
        <w:t>beside</w:t>
      </w:r>
      <w:r>
        <w:rPr>
          <w:spacing w:val="-3"/>
          <w:w w:val="110"/>
        </w:rPr>
        <w:t> </w:t>
      </w:r>
      <w:r>
        <w:rPr>
          <w:w w:val="110"/>
        </w:rPr>
        <w:t>the</w:t>
      </w:r>
      <w:r>
        <w:rPr>
          <w:spacing w:val="-4"/>
          <w:w w:val="110"/>
        </w:rPr>
        <w:t> </w:t>
      </w:r>
      <w:r>
        <w:rPr>
          <w:w w:val="110"/>
        </w:rPr>
        <w:t>Booklets</w:t>
      </w:r>
      <w:r>
        <w:rPr>
          <w:spacing w:val="-4"/>
          <w:w w:val="110"/>
        </w:rPr>
        <w:t> </w:t>
      </w:r>
      <w:r>
        <w:rPr>
          <w:w w:val="110"/>
        </w:rPr>
        <w:t>returned</w:t>
      </w:r>
      <w:r>
        <w:rPr>
          <w:spacing w:val="-5"/>
          <w:w w:val="110"/>
        </w:rPr>
        <w:t> </w:t>
      </w:r>
      <w:r>
        <w:rPr>
          <w:w w:val="110"/>
        </w:rPr>
        <w:t>to</w:t>
      </w:r>
    </w:p>
    <w:p>
      <w:pPr>
        <w:pStyle w:val="BodyText"/>
        <w:spacing w:before="1"/>
        <w:ind w:left="392" w:right="480"/>
      </w:pPr>
      <w:r>
        <w:rPr>
          <w:w w:val="110"/>
        </w:rPr>
        <w:t>NZQA link on your Marking Home page. This message will disappear once the requested portfolios have been checked off in the Booklets returned to NZQA screen.</w:t>
      </w:r>
    </w:p>
    <w:p>
      <w:pPr>
        <w:pStyle w:val="BodyText"/>
        <w:spacing w:line="500" w:lineRule="atLeast" w:before="7"/>
        <w:ind w:left="392" w:right="2455"/>
      </w:pPr>
      <w:r>
        <w:rPr>
          <w:w w:val="105"/>
        </w:rPr>
        <w:t>You will be sent  a letter and pre-paid courier bag to follow up this online request.  If you receive this request, you must immediately complete the following</w:t>
      </w:r>
      <w:r>
        <w:rPr>
          <w:spacing w:val="30"/>
          <w:w w:val="105"/>
        </w:rPr>
        <w:t> </w:t>
      </w:r>
      <w:r>
        <w:rPr>
          <w:w w:val="105"/>
        </w:rPr>
        <w:t>steps:</w:t>
      </w:r>
    </w:p>
    <w:p>
      <w:pPr>
        <w:pStyle w:val="ListParagraph"/>
        <w:numPr>
          <w:ilvl w:val="0"/>
          <w:numId w:val="2"/>
        </w:numPr>
        <w:tabs>
          <w:tab w:pos="749" w:val="left" w:leader="none"/>
          <w:tab w:pos="750" w:val="left" w:leader="none"/>
        </w:tabs>
        <w:spacing w:line="240" w:lineRule="auto" w:before="143" w:after="0"/>
        <w:ind w:left="749" w:right="0" w:hanging="357"/>
        <w:jc w:val="left"/>
        <w:rPr>
          <w:sz w:val="22"/>
        </w:rPr>
      </w:pPr>
      <w:r>
        <w:rPr>
          <w:w w:val="105"/>
          <w:sz w:val="22"/>
        </w:rPr>
        <w:t>Find</w:t>
      </w:r>
      <w:r>
        <w:rPr>
          <w:spacing w:val="6"/>
          <w:w w:val="105"/>
          <w:sz w:val="22"/>
        </w:rPr>
        <w:t> </w:t>
      </w:r>
      <w:r>
        <w:rPr>
          <w:w w:val="105"/>
          <w:sz w:val="22"/>
        </w:rPr>
        <w:t>the</w:t>
      </w:r>
      <w:r>
        <w:rPr>
          <w:spacing w:val="7"/>
          <w:w w:val="105"/>
          <w:sz w:val="22"/>
        </w:rPr>
        <w:t> </w:t>
      </w:r>
      <w:r>
        <w:rPr>
          <w:w w:val="105"/>
          <w:sz w:val="22"/>
        </w:rPr>
        <w:t>portfolio</w:t>
      </w:r>
      <w:r>
        <w:rPr>
          <w:spacing w:val="5"/>
          <w:w w:val="105"/>
          <w:sz w:val="22"/>
        </w:rPr>
        <w:t> </w:t>
      </w:r>
      <w:r>
        <w:rPr>
          <w:w w:val="105"/>
          <w:sz w:val="22"/>
        </w:rPr>
        <w:t>in</w:t>
      </w:r>
      <w:r>
        <w:rPr>
          <w:spacing w:val="7"/>
          <w:w w:val="105"/>
          <w:sz w:val="22"/>
        </w:rPr>
        <w:t> </w:t>
      </w:r>
      <w:r>
        <w:rPr>
          <w:w w:val="105"/>
          <w:sz w:val="22"/>
        </w:rPr>
        <w:t>your</w:t>
      </w:r>
      <w:r>
        <w:rPr>
          <w:spacing w:val="6"/>
          <w:w w:val="105"/>
          <w:sz w:val="22"/>
        </w:rPr>
        <w:t> </w:t>
      </w:r>
      <w:r>
        <w:rPr>
          <w:w w:val="105"/>
          <w:sz w:val="22"/>
        </w:rPr>
        <w:t>allocation</w:t>
      </w:r>
      <w:r>
        <w:rPr>
          <w:spacing w:val="6"/>
          <w:w w:val="105"/>
          <w:sz w:val="22"/>
        </w:rPr>
        <w:t> </w:t>
      </w:r>
      <w:r>
        <w:rPr>
          <w:w w:val="105"/>
          <w:sz w:val="22"/>
        </w:rPr>
        <w:t>by</w:t>
      </w:r>
      <w:r>
        <w:rPr>
          <w:spacing w:val="4"/>
          <w:w w:val="105"/>
          <w:sz w:val="22"/>
        </w:rPr>
        <w:t> </w:t>
      </w:r>
      <w:r>
        <w:rPr>
          <w:w w:val="105"/>
          <w:sz w:val="22"/>
        </w:rPr>
        <w:t>using</w:t>
      </w:r>
      <w:r>
        <w:rPr>
          <w:spacing w:val="7"/>
          <w:w w:val="105"/>
          <w:sz w:val="22"/>
        </w:rPr>
        <w:t> </w:t>
      </w:r>
      <w:r>
        <w:rPr>
          <w:w w:val="105"/>
          <w:sz w:val="22"/>
        </w:rPr>
        <w:t>the</w:t>
      </w:r>
      <w:r>
        <w:rPr>
          <w:spacing w:val="7"/>
          <w:w w:val="105"/>
          <w:sz w:val="22"/>
        </w:rPr>
        <w:t> </w:t>
      </w:r>
      <w:r>
        <w:rPr>
          <w:w w:val="105"/>
          <w:sz w:val="22"/>
        </w:rPr>
        <w:t>Search</w:t>
      </w:r>
      <w:r>
        <w:rPr>
          <w:spacing w:val="4"/>
          <w:w w:val="105"/>
          <w:sz w:val="22"/>
        </w:rPr>
        <w:t> </w:t>
      </w:r>
      <w:r>
        <w:rPr>
          <w:w w:val="105"/>
          <w:sz w:val="22"/>
        </w:rPr>
        <w:t>for</w:t>
      </w:r>
      <w:r>
        <w:rPr>
          <w:spacing w:val="6"/>
          <w:w w:val="105"/>
          <w:sz w:val="22"/>
        </w:rPr>
        <w:t> </w:t>
      </w:r>
      <w:r>
        <w:rPr>
          <w:w w:val="105"/>
          <w:sz w:val="22"/>
        </w:rPr>
        <w:t>Candidate</w:t>
      </w:r>
      <w:r>
        <w:rPr>
          <w:spacing w:val="7"/>
          <w:w w:val="105"/>
          <w:sz w:val="22"/>
        </w:rPr>
        <w:t> </w:t>
      </w:r>
      <w:r>
        <w:rPr>
          <w:w w:val="105"/>
          <w:sz w:val="22"/>
        </w:rPr>
        <w:t>link.</w:t>
      </w:r>
    </w:p>
    <w:p>
      <w:pPr>
        <w:pStyle w:val="ListParagraph"/>
        <w:numPr>
          <w:ilvl w:val="0"/>
          <w:numId w:val="2"/>
        </w:numPr>
        <w:tabs>
          <w:tab w:pos="749" w:val="left" w:leader="none"/>
          <w:tab w:pos="750" w:val="left" w:leader="none"/>
        </w:tabs>
        <w:spacing w:line="240" w:lineRule="auto" w:before="133" w:after="0"/>
        <w:ind w:left="749" w:right="0" w:hanging="357"/>
        <w:jc w:val="left"/>
        <w:rPr>
          <w:sz w:val="22"/>
        </w:rPr>
      </w:pPr>
      <w:r>
        <w:rPr>
          <w:w w:val="110"/>
          <w:sz w:val="22"/>
        </w:rPr>
        <w:t>Mark it as</w:t>
      </w:r>
      <w:r>
        <w:rPr>
          <w:spacing w:val="4"/>
          <w:w w:val="110"/>
          <w:sz w:val="22"/>
        </w:rPr>
        <w:t> </w:t>
      </w:r>
      <w:r>
        <w:rPr>
          <w:w w:val="110"/>
          <w:sz w:val="22"/>
        </w:rPr>
        <w:t>usual.</w:t>
      </w:r>
    </w:p>
    <w:p>
      <w:pPr>
        <w:pStyle w:val="ListParagraph"/>
        <w:numPr>
          <w:ilvl w:val="0"/>
          <w:numId w:val="2"/>
        </w:numPr>
        <w:tabs>
          <w:tab w:pos="749" w:val="left" w:leader="none"/>
          <w:tab w:pos="750" w:val="left" w:leader="none"/>
        </w:tabs>
        <w:spacing w:line="240" w:lineRule="auto" w:before="136" w:after="0"/>
        <w:ind w:left="750" w:right="1052" w:hanging="358"/>
        <w:jc w:val="left"/>
        <w:rPr>
          <w:sz w:val="22"/>
        </w:rPr>
      </w:pPr>
      <w:r>
        <w:rPr>
          <w:w w:val="110"/>
          <w:sz w:val="22"/>
        </w:rPr>
        <w:t>Enter</w:t>
      </w:r>
      <w:r>
        <w:rPr>
          <w:spacing w:val="-6"/>
          <w:w w:val="110"/>
          <w:sz w:val="22"/>
        </w:rPr>
        <w:t> </w:t>
      </w:r>
      <w:r>
        <w:rPr>
          <w:w w:val="110"/>
          <w:sz w:val="22"/>
        </w:rPr>
        <w:t>the</w:t>
      </w:r>
      <w:r>
        <w:rPr>
          <w:spacing w:val="-7"/>
          <w:w w:val="110"/>
          <w:sz w:val="22"/>
        </w:rPr>
        <w:t> </w:t>
      </w:r>
      <w:r>
        <w:rPr>
          <w:w w:val="110"/>
          <w:sz w:val="22"/>
        </w:rPr>
        <w:t>result</w:t>
      </w:r>
      <w:r>
        <w:rPr>
          <w:spacing w:val="-8"/>
          <w:w w:val="110"/>
          <w:sz w:val="22"/>
        </w:rPr>
        <w:t> </w:t>
      </w:r>
      <w:r>
        <w:rPr>
          <w:w w:val="110"/>
          <w:sz w:val="22"/>
        </w:rPr>
        <w:t>online</w:t>
      </w:r>
      <w:r>
        <w:rPr>
          <w:spacing w:val="-5"/>
          <w:w w:val="110"/>
          <w:sz w:val="22"/>
        </w:rPr>
        <w:t> </w:t>
      </w:r>
      <w:r>
        <w:rPr>
          <w:w w:val="110"/>
          <w:sz w:val="22"/>
        </w:rPr>
        <w:t>on</w:t>
      </w:r>
      <w:r>
        <w:rPr>
          <w:spacing w:val="-7"/>
          <w:w w:val="110"/>
          <w:sz w:val="22"/>
        </w:rPr>
        <w:t> </w:t>
      </w:r>
      <w:r>
        <w:rPr>
          <w:w w:val="110"/>
          <w:sz w:val="22"/>
        </w:rPr>
        <w:t>your</w:t>
      </w:r>
      <w:r>
        <w:rPr>
          <w:spacing w:val="-3"/>
          <w:w w:val="110"/>
          <w:sz w:val="22"/>
        </w:rPr>
        <w:t> </w:t>
      </w:r>
      <w:r>
        <w:rPr>
          <w:w w:val="110"/>
          <w:sz w:val="22"/>
        </w:rPr>
        <w:t>Marking</w:t>
      </w:r>
      <w:r>
        <w:rPr>
          <w:spacing w:val="-6"/>
          <w:w w:val="110"/>
          <w:sz w:val="22"/>
        </w:rPr>
        <w:t> </w:t>
      </w:r>
      <w:r>
        <w:rPr>
          <w:w w:val="110"/>
          <w:sz w:val="22"/>
        </w:rPr>
        <w:t>Pages</w:t>
      </w:r>
      <w:r>
        <w:rPr>
          <w:spacing w:val="-8"/>
          <w:w w:val="110"/>
          <w:sz w:val="22"/>
        </w:rPr>
        <w:t> </w:t>
      </w:r>
      <w:r>
        <w:rPr>
          <w:w w:val="110"/>
          <w:sz w:val="22"/>
        </w:rPr>
        <w:t>and</w:t>
      </w:r>
      <w:r>
        <w:rPr>
          <w:spacing w:val="-6"/>
          <w:w w:val="110"/>
          <w:sz w:val="22"/>
        </w:rPr>
        <w:t> </w:t>
      </w:r>
      <w:r>
        <w:rPr>
          <w:w w:val="110"/>
          <w:sz w:val="22"/>
        </w:rPr>
        <w:t>record</w:t>
      </w:r>
      <w:r>
        <w:rPr>
          <w:spacing w:val="-5"/>
          <w:w w:val="110"/>
          <w:sz w:val="22"/>
        </w:rPr>
        <w:t> </w:t>
      </w:r>
      <w:r>
        <w:rPr>
          <w:w w:val="110"/>
          <w:sz w:val="22"/>
        </w:rPr>
        <w:t>it</w:t>
      </w:r>
      <w:r>
        <w:rPr>
          <w:spacing w:val="-6"/>
          <w:w w:val="110"/>
          <w:sz w:val="22"/>
        </w:rPr>
        <w:t> </w:t>
      </w:r>
      <w:r>
        <w:rPr>
          <w:w w:val="110"/>
          <w:sz w:val="22"/>
        </w:rPr>
        <w:t>on</w:t>
      </w:r>
      <w:r>
        <w:rPr>
          <w:spacing w:val="-8"/>
          <w:w w:val="110"/>
          <w:sz w:val="22"/>
        </w:rPr>
        <w:t> </w:t>
      </w:r>
      <w:r>
        <w:rPr>
          <w:w w:val="110"/>
          <w:sz w:val="22"/>
        </w:rPr>
        <w:t>the</w:t>
      </w:r>
      <w:r>
        <w:rPr>
          <w:spacing w:val="-7"/>
          <w:w w:val="110"/>
          <w:sz w:val="22"/>
        </w:rPr>
        <w:t> </w:t>
      </w:r>
      <w:r>
        <w:rPr>
          <w:w w:val="110"/>
          <w:sz w:val="22"/>
        </w:rPr>
        <w:t>Answer</w:t>
      </w:r>
      <w:r>
        <w:rPr>
          <w:spacing w:val="-6"/>
          <w:w w:val="110"/>
          <w:sz w:val="22"/>
        </w:rPr>
        <w:t> </w:t>
      </w:r>
      <w:r>
        <w:rPr>
          <w:w w:val="110"/>
          <w:sz w:val="22"/>
        </w:rPr>
        <w:t>Booklet</w:t>
      </w:r>
      <w:r>
        <w:rPr>
          <w:spacing w:val="-3"/>
          <w:w w:val="110"/>
          <w:sz w:val="22"/>
        </w:rPr>
        <w:t> </w:t>
      </w:r>
      <w:r>
        <w:rPr>
          <w:w w:val="110"/>
          <w:sz w:val="22"/>
        </w:rPr>
        <w:t>Control Sheet.</w:t>
      </w:r>
    </w:p>
    <w:p>
      <w:pPr>
        <w:pStyle w:val="ListParagraph"/>
        <w:numPr>
          <w:ilvl w:val="0"/>
          <w:numId w:val="2"/>
        </w:numPr>
        <w:tabs>
          <w:tab w:pos="749" w:val="left" w:leader="none"/>
          <w:tab w:pos="750" w:val="left" w:leader="none"/>
        </w:tabs>
        <w:spacing w:line="240" w:lineRule="auto" w:before="135" w:after="0"/>
        <w:ind w:left="749" w:right="0" w:hanging="357"/>
        <w:jc w:val="left"/>
        <w:rPr>
          <w:sz w:val="22"/>
        </w:rPr>
      </w:pPr>
      <w:r>
        <w:rPr>
          <w:w w:val="110"/>
          <w:sz w:val="22"/>
        </w:rPr>
        <w:t>Send the portfolio to NZQA using the pre-paid courier</w:t>
      </w:r>
      <w:r>
        <w:rPr>
          <w:spacing w:val="-9"/>
          <w:w w:val="110"/>
          <w:sz w:val="22"/>
        </w:rPr>
        <w:t> </w:t>
      </w:r>
      <w:r>
        <w:rPr>
          <w:w w:val="110"/>
          <w:sz w:val="22"/>
        </w:rPr>
        <w:t>bag.</w:t>
      </w:r>
    </w:p>
    <w:p>
      <w:pPr>
        <w:pStyle w:val="ListParagraph"/>
        <w:numPr>
          <w:ilvl w:val="0"/>
          <w:numId w:val="2"/>
        </w:numPr>
        <w:tabs>
          <w:tab w:pos="749" w:val="left" w:leader="none"/>
          <w:tab w:pos="750" w:val="left" w:leader="none"/>
        </w:tabs>
        <w:spacing w:line="240" w:lineRule="auto" w:before="133" w:after="0"/>
        <w:ind w:left="750" w:right="893" w:hanging="358"/>
        <w:jc w:val="left"/>
        <w:rPr>
          <w:sz w:val="22"/>
        </w:rPr>
      </w:pPr>
      <w:r>
        <w:rPr>
          <w:w w:val="105"/>
          <w:sz w:val="22"/>
        </w:rPr>
        <w:t>If you have not yet received the portfolio, wait until the final week of marking and </w:t>
      </w:r>
      <w:r>
        <w:rPr>
          <w:spacing w:val="-3"/>
          <w:w w:val="105"/>
          <w:sz w:val="22"/>
        </w:rPr>
        <w:t>if </w:t>
      </w:r>
      <w:r>
        <w:rPr>
          <w:w w:val="105"/>
          <w:sz w:val="22"/>
        </w:rPr>
        <w:t>it still has not arrived, complete the form at the bottom of the letter and return it in the pre-paid courier bag.</w:t>
      </w:r>
    </w:p>
    <w:p>
      <w:pPr>
        <w:pStyle w:val="BodyText"/>
        <w:spacing w:before="4"/>
        <w:rPr>
          <w:sz w:val="31"/>
        </w:rPr>
      </w:pPr>
    </w:p>
    <w:p>
      <w:pPr>
        <w:pStyle w:val="Heading3"/>
      </w:pPr>
      <w:bookmarkStart w:name="_TOC_250022" w:id="26"/>
      <w:bookmarkEnd w:id="26"/>
      <w:r>
        <w:rPr>
          <w:w w:val="120"/>
        </w:rPr>
        <w:t>Search for Candidate</w:t>
      </w:r>
    </w:p>
    <w:p>
      <w:pPr>
        <w:pStyle w:val="BodyText"/>
        <w:spacing w:before="118"/>
        <w:ind w:left="392"/>
      </w:pPr>
      <w:r>
        <w:rPr>
          <w:w w:val="120"/>
        </w:rPr>
        <w:t>Use the Search for Candidate link to:</w:t>
      </w:r>
    </w:p>
    <w:p>
      <w:pPr>
        <w:pStyle w:val="ListParagraph"/>
        <w:numPr>
          <w:ilvl w:val="0"/>
          <w:numId w:val="2"/>
        </w:numPr>
        <w:tabs>
          <w:tab w:pos="751" w:val="left" w:leader="none"/>
          <w:tab w:pos="752" w:val="left" w:leader="none"/>
        </w:tabs>
        <w:spacing w:line="240" w:lineRule="auto" w:before="138" w:after="0"/>
        <w:ind w:left="751" w:right="0" w:hanging="359"/>
        <w:jc w:val="left"/>
        <w:rPr>
          <w:sz w:val="22"/>
        </w:rPr>
      </w:pPr>
      <w:r>
        <w:rPr>
          <w:w w:val="110"/>
          <w:sz w:val="22"/>
        </w:rPr>
        <w:t>locate a portfolio requested by</w:t>
      </w:r>
      <w:r>
        <w:rPr>
          <w:spacing w:val="1"/>
          <w:w w:val="110"/>
          <w:sz w:val="22"/>
        </w:rPr>
        <w:t> </w:t>
      </w:r>
      <w:r>
        <w:rPr>
          <w:w w:val="110"/>
          <w:sz w:val="22"/>
        </w:rPr>
        <w:t>NZQA</w:t>
      </w:r>
    </w:p>
    <w:p>
      <w:pPr>
        <w:pStyle w:val="ListParagraph"/>
        <w:numPr>
          <w:ilvl w:val="0"/>
          <w:numId w:val="2"/>
        </w:numPr>
        <w:tabs>
          <w:tab w:pos="751" w:val="left" w:leader="none"/>
          <w:tab w:pos="752" w:val="left" w:leader="none"/>
        </w:tabs>
        <w:spacing w:line="240" w:lineRule="auto" w:before="73" w:after="0"/>
        <w:ind w:left="751" w:right="0" w:hanging="359"/>
        <w:jc w:val="left"/>
        <w:rPr>
          <w:sz w:val="22"/>
        </w:rPr>
      </w:pPr>
      <w:r>
        <w:rPr>
          <w:w w:val="110"/>
          <w:sz w:val="22"/>
        </w:rPr>
        <w:t>transfer</w:t>
      </w:r>
      <w:r>
        <w:rPr>
          <w:spacing w:val="-3"/>
          <w:w w:val="110"/>
          <w:sz w:val="22"/>
        </w:rPr>
        <w:t> </w:t>
      </w:r>
      <w:r>
        <w:rPr>
          <w:w w:val="110"/>
          <w:sz w:val="22"/>
        </w:rPr>
        <w:t>a</w:t>
      </w:r>
      <w:r>
        <w:rPr>
          <w:spacing w:val="-4"/>
          <w:w w:val="110"/>
          <w:sz w:val="22"/>
        </w:rPr>
        <w:t> </w:t>
      </w:r>
      <w:r>
        <w:rPr>
          <w:w w:val="110"/>
          <w:sz w:val="22"/>
        </w:rPr>
        <w:t>result</w:t>
      </w:r>
      <w:r>
        <w:rPr>
          <w:spacing w:val="-5"/>
          <w:w w:val="110"/>
          <w:sz w:val="22"/>
        </w:rPr>
        <w:t> </w:t>
      </w:r>
      <w:r>
        <w:rPr>
          <w:w w:val="110"/>
          <w:sz w:val="22"/>
        </w:rPr>
        <w:t>entry</w:t>
      </w:r>
      <w:r>
        <w:rPr>
          <w:spacing w:val="-4"/>
          <w:w w:val="110"/>
          <w:sz w:val="22"/>
        </w:rPr>
        <w:t> </w:t>
      </w:r>
      <w:r>
        <w:rPr>
          <w:w w:val="110"/>
          <w:sz w:val="22"/>
        </w:rPr>
        <w:t>line</w:t>
      </w:r>
      <w:r>
        <w:rPr>
          <w:spacing w:val="-6"/>
          <w:w w:val="110"/>
          <w:sz w:val="22"/>
        </w:rPr>
        <w:t> </w:t>
      </w:r>
      <w:r>
        <w:rPr>
          <w:w w:val="110"/>
          <w:sz w:val="22"/>
        </w:rPr>
        <w:t>from</w:t>
      </w:r>
      <w:r>
        <w:rPr>
          <w:spacing w:val="-2"/>
          <w:w w:val="110"/>
          <w:sz w:val="22"/>
        </w:rPr>
        <w:t> </w:t>
      </w:r>
      <w:r>
        <w:rPr>
          <w:w w:val="110"/>
          <w:sz w:val="22"/>
        </w:rPr>
        <w:t>another</w:t>
      </w:r>
      <w:r>
        <w:rPr>
          <w:spacing w:val="-3"/>
          <w:w w:val="110"/>
          <w:sz w:val="22"/>
        </w:rPr>
        <w:t> </w:t>
      </w:r>
      <w:r>
        <w:rPr>
          <w:w w:val="110"/>
          <w:sz w:val="22"/>
        </w:rPr>
        <w:t>marker’s</w:t>
      </w:r>
      <w:r>
        <w:rPr>
          <w:spacing w:val="-6"/>
          <w:w w:val="110"/>
          <w:sz w:val="22"/>
        </w:rPr>
        <w:t> </w:t>
      </w:r>
      <w:r>
        <w:rPr>
          <w:w w:val="110"/>
          <w:sz w:val="22"/>
        </w:rPr>
        <w:t>allocation</w:t>
      </w:r>
      <w:r>
        <w:rPr>
          <w:spacing w:val="-1"/>
          <w:w w:val="110"/>
          <w:sz w:val="22"/>
        </w:rPr>
        <w:t> </w:t>
      </w:r>
      <w:r>
        <w:rPr>
          <w:w w:val="110"/>
          <w:sz w:val="22"/>
        </w:rPr>
        <w:t>to</w:t>
      </w:r>
      <w:r>
        <w:rPr>
          <w:spacing w:val="-3"/>
          <w:w w:val="110"/>
          <w:sz w:val="22"/>
        </w:rPr>
        <w:t> </w:t>
      </w:r>
      <w:r>
        <w:rPr>
          <w:w w:val="110"/>
          <w:sz w:val="22"/>
        </w:rPr>
        <w:t>your</w:t>
      </w:r>
      <w:r>
        <w:rPr>
          <w:spacing w:val="-1"/>
          <w:w w:val="110"/>
          <w:sz w:val="22"/>
        </w:rPr>
        <w:t> </w:t>
      </w:r>
      <w:r>
        <w:rPr>
          <w:w w:val="110"/>
          <w:sz w:val="22"/>
        </w:rPr>
        <w:t>allocation</w:t>
      </w:r>
      <w:r>
        <w:rPr>
          <w:spacing w:val="-2"/>
          <w:w w:val="110"/>
          <w:sz w:val="22"/>
        </w:rPr>
        <w:t> </w:t>
      </w:r>
      <w:r>
        <w:rPr>
          <w:w w:val="110"/>
          <w:sz w:val="22"/>
        </w:rPr>
        <w:t>to</w:t>
      </w:r>
      <w:r>
        <w:rPr>
          <w:spacing w:val="-3"/>
          <w:w w:val="110"/>
          <w:sz w:val="22"/>
        </w:rPr>
        <w:t> </w:t>
      </w:r>
      <w:r>
        <w:rPr>
          <w:w w:val="110"/>
          <w:sz w:val="22"/>
        </w:rPr>
        <w:t>enter</w:t>
      </w:r>
      <w:r>
        <w:rPr>
          <w:spacing w:val="-3"/>
          <w:w w:val="110"/>
          <w:sz w:val="22"/>
        </w:rPr>
        <w:t> </w:t>
      </w:r>
      <w:r>
        <w:rPr>
          <w:w w:val="110"/>
          <w:sz w:val="22"/>
        </w:rPr>
        <w:t>a</w:t>
      </w:r>
      <w:r>
        <w:rPr>
          <w:spacing w:val="-3"/>
          <w:w w:val="110"/>
          <w:sz w:val="22"/>
        </w:rPr>
        <w:t> </w:t>
      </w:r>
      <w:r>
        <w:rPr>
          <w:w w:val="110"/>
          <w:sz w:val="22"/>
        </w:rPr>
        <w:t>result.</w:t>
      </w:r>
    </w:p>
    <w:p>
      <w:pPr>
        <w:pStyle w:val="BodyText"/>
        <w:spacing w:before="3"/>
        <w:rPr>
          <w:sz w:val="31"/>
        </w:rPr>
      </w:pPr>
    </w:p>
    <w:p>
      <w:pPr>
        <w:pStyle w:val="BodyText"/>
        <w:ind w:left="392"/>
      </w:pPr>
      <w:r>
        <w:rPr>
          <w:w w:val="120"/>
        </w:rPr>
        <w:t>Locate a result entry line:</w:t>
      </w:r>
    </w:p>
    <w:p>
      <w:pPr>
        <w:pStyle w:val="ListParagraph"/>
        <w:numPr>
          <w:ilvl w:val="0"/>
          <w:numId w:val="2"/>
        </w:numPr>
        <w:tabs>
          <w:tab w:pos="751" w:val="left" w:leader="none"/>
          <w:tab w:pos="752" w:val="left" w:leader="none"/>
        </w:tabs>
        <w:spacing w:line="240" w:lineRule="auto" w:before="136" w:after="0"/>
        <w:ind w:left="751" w:right="0" w:hanging="359"/>
        <w:jc w:val="left"/>
        <w:rPr>
          <w:sz w:val="22"/>
        </w:rPr>
      </w:pPr>
      <w:r>
        <w:rPr>
          <w:w w:val="110"/>
          <w:sz w:val="22"/>
        </w:rPr>
        <w:t>click on Search for</w:t>
      </w:r>
      <w:r>
        <w:rPr>
          <w:spacing w:val="1"/>
          <w:w w:val="110"/>
          <w:sz w:val="22"/>
        </w:rPr>
        <w:t> </w:t>
      </w:r>
      <w:r>
        <w:rPr>
          <w:w w:val="110"/>
          <w:sz w:val="22"/>
        </w:rPr>
        <w:t>Candidate</w:t>
      </w:r>
    </w:p>
    <w:p>
      <w:pPr>
        <w:pStyle w:val="ListParagraph"/>
        <w:numPr>
          <w:ilvl w:val="0"/>
          <w:numId w:val="2"/>
        </w:numPr>
        <w:tabs>
          <w:tab w:pos="751" w:val="left" w:leader="none"/>
          <w:tab w:pos="752" w:val="left" w:leader="none"/>
        </w:tabs>
        <w:spacing w:line="240" w:lineRule="auto" w:before="76" w:after="0"/>
        <w:ind w:left="751" w:right="0" w:hanging="359"/>
        <w:jc w:val="left"/>
        <w:rPr>
          <w:sz w:val="22"/>
        </w:rPr>
      </w:pPr>
      <w:r>
        <w:rPr>
          <w:w w:val="110"/>
          <w:sz w:val="22"/>
        </w:rPr>
        <w:t>enter either the candidate’s NSN or both their Exam Centre Code and Exam</w:t>
      </w:r>
      <w:r>
        <w:rPr>
          <w:spacing w:val="16"/>
          <w:w w:val="110"/>
          <w:sz w:val="22"/>
        </w:rPr>
        <w:t> </w:t>
      </w:r>
      <w:r>
        <w:rPr>
          <w:w w:val="110"/>
          <w:sz w:val="22"/>
        </w:rPr>
        <w:t>Code</w:t>
      </w:r>
    </w:p>
    <w:p>
      <w:pPr>
        <w:pStyle w:val="ListParagraph"/>
        <w:numPr>
          <w:ilvl w:val="0"/>
          <w:numId w:val="2"/>
        </w:numPr>
        <w:tabs>
          <w:tab w:pos="751" w:val="left" w:leader="none"/>
          <w:tab w:pos="752" w:val="left" w:leader="none"/>
        </w:tabs>
        <w:spacing w:line="240" w:lineRule="auto" w:before="75" w:after="0"/>
        <w:ind w:left="751" w:right="0" w:hanging="359"/>
        <w:jc w:val="left"/>
        <w:rPr>
          <w:sz w:val="22"/>
        </w:rPr>
      </w:pPr>
      <w:r>
        <w:rPr>
          <w:w w:val="110"/>
          <w:sz w:val="22"/>
        </w:rPr>
        <w:t>select the relevant standard number from the drop-down</w:t>
      </w:r>
      <w:r>
        <w:rPr>
          <w:spacing w:val="1"/>
          <w:w w:val="110"/>
          <w:sz w:val="22"/>
        </w:rPr>
        <w:t> </w:t>
      </w:r>
      <w:r>
        <w:rPr>
          <w:w w:val="110"/>
          <w:sz w:val="22"/>
        </w:rPr>
        <w:t>list</w:t>
      </w:r>
    </w:p>
    <w:p>
      <w:pPr>
        <w:spacing w:after="0" w:line="240" w:lineRule="auto"/>
        <w:jc w:val="left"/>
        <w:rPr>
          <w:sz w:val="22"/>
        </w:rPr>
        <w:sectPr>
          <w:pgSz w:w="11910" w:h="16840"/>
          <w:pgMar w:header="0" w:footer="863" w:top="940" w:bottom="1060" w:left="740" w:right="580"/>
        </w:sectPr>
      </w:pPr>
    </w:p>
    <w:p>
      <w:pPr>
        <w:pStyle w:val="ListParagraph"/>
        <w:numPr>
          <w:ilvl w:val="0"/>
          <w:numId w:val="2"/>
        </w:numPr>
        <w:tabs>
          <w:tab w:pos="751" w:val="left" w:leader="none"/>
          <w:tab w:pos="752" w:val="left" w:leader="none"/>
        </w:tabs>
        <w:spacing w:line="240" w:lineRule="auto" w:before="79" w:after="0"/>
        <w:ind w:left="751" w:right="0" w:hanging="359"/>
        <w:jc w:val="left"/>
        <w:rPr>
          <w:sz w:val="22"/>
        </w:rPr>
      </w:pPr>
      <w:r>
        <w:rPr>
          <w:w w:val="110"/>
          <w:sz w:val="22"/>
        </w:rPr>
        <w:t>click on</w:t>
      </w:r>
      <w:r>
        <w:rPr>
          <w:spacing w:val="3"/>
          <w:w w:val="110"/>
          <w:sz w:val="22"/>
        </w:rPr>
        <w:t> </w:t>
      </w:r>
      <w:r>
        <w:rPr>
          <w:w w:val="110"/>
          <w:sz w:val="22"/>
        </w:rPr>
        <w:t>Search.</w:t>
      </w:r>
    </w:p>
    <w:p>
      <w:pPr>
        <w:pStyle w:val="ListParagraph"/>
        <w:numPr>
          <w:ilvl w:val="0"/>
          <w:numId w:val="4"/>
        </w:numPr>
        <w:tabs>
          <w:tab w:pos="1111" w:val="left" w:leader="none"/>
          <w:tab w:pos="1112" w:val="left" w:leader="none"/>
        </w:tabs>
        <w:spacing w:line="240" w:lineRule="auto" w:before="76" w:after="0"/>
        <w:ind w:left="1111" w:right="0" w:hanging="359"/>
        <w:jc w:val="left"/>
        <w:rPr>
          <w:sz w:val="22"/>
        </w:rPr>
      </w:pPr>
      <w:r>
        <w:rPr>
          <w:w w:val="105"/>
          <w:sz w:val="22"/>
        </w:rPr>
        <w:t>If</w:t>
      </w:r>
      <w:r>
        <w:rPr>
          <w:spacing w:val="12"/>
          <w:w w:val="105"/>
          <w:sz w:val="22"/>
        </w:rPr>
        <w:t> </w:t>
      </w:r>
      <w:r>
        <w:rPr>
          <w:w w:val="105"/>
          <w:sz w:val="22"/>
        </w:rPr>
        <w:t>the</w:t>
      </w:r>
      <w:r>
        <w:rPr>
          <w:spacing w:val="7"/>
          <w:w w:val="105"/>
          <w:sz w:val="22"/>
        </w:rPr>
        <w:t> </w:t>
      </w:r>
      <w:r>
        <w:rPr>
          <w:w w:val="105"/>
          <w:sz w:val="22"/>
        </w:rPr>
        <w:t>candidate</w:t>
      </w:r>
      <w:r>
        <w:rPr>
          <w:spacing w:val="8"/>
          <w:w w:val="105"/>
          <w:sz w:val="22"/>
        </w:rPr>
        <w:t> </w:t>
      </w:r>
      <w:r>
        <w:rPr>
          <w:w w:val="105"/>
          <w:sz w:val="22"/>
        </w:rPr>
        <w:t>is</w:t>
      </w:r>
      <w:r>
        <w:rPr>
          <w:spacing w:val="6"/>
          <w:w w:val="105"/>
          <w:sz w:val="22"/>
        </w:rPr>
        <w:t> </w:t>
      </w:r>
      <w:r>
        <w:rPr>
          <w:w w:val="105"/>
          <w:sz w:val="22"/>
        </w:rPr>
        <w:t>found,</w:t>
      </w:r>
      <w:r>
        <w:rPr>
          <w:spacing w:val="9"/>
          <w:w w:val="105"/>
          <w:sz w:val="22"/>
        </w:rPr>
        <w:t> </w:t>
      </w:r>
      <w:r>
        <w:rPr>
          <w:w w:val="105"/>
          <w:sz w:val="22"/>
        </w:rPr>
        <w:t>you</w:t>
      </w:r>
      <w:r>
        <w:rPr>
          <w:spacing w:val="10"/>
          <w:w w:val="105"/>
          <w:sz w:val="22"/>
        </w:rPr>
        <w:t> </w:t>
      </w:r>
      <w:r>
        <w:rPr>
          <w:w w:val="105"/>
          <w:sz w:val="22"/>
        </w:rPr>
        <w:t>will</w:t>
      </w:r>
      <w:r>
        <w:rPr>
          <w:spacing w:val="9"/>
          <w:w w:val="105"/>
          <w:sz w:val="22"/>
        </w:rPr>
        <w:t> </w:t>
      </w:r>
      <w:r>
        <w:rPr>
          <w:w w:val="105"/>
          <w:sz w:val="22"/>
        </w:rPr>
        <w:t>see</w:t>
      </w:r>
      <w:r>
        <w:rPr>
          <w:spacing w:val="9"/>
          <w:w w:val="105"/>
          <w:sz w:val="22"/>
        </w:rPr>
        <w:t> </w:t>
      </w:r>
      <w:r>
        <w:rPr>
          <w:w w:val="105"/>
          <w:sz w:val="22"/>
        </w:rPr>
        <w:t>their</w:t>
      </w:r>
      <w:r>
        <w:rPr>
          <w:spacing w:val="8"/>
          <w:w w:val="105"/>
          <w:sz w:val="22"/>
        </w:rPr>
        <w:t> </w:t>
      </w:r>
      <w:r>
        <w:rPr>
          <w:w w:val="105"/>
          <w:sz w:val="22"/>
        </w:rPr>
        <w:t>entry</w:t>
      </w:r>
      <w:r>
        <w:rPr>
          <w:spacing w:val="7"/>
          <w:w w:val="105"/>
          <w:sz w:val="22"/>
        </w:rPr>
        <w:t> </w:t>
      </w:r>
      <w:r>
        <w:rPr>
          <w:w w:val="105"/>
          <w:sz w:val="22"/>
        </w:rPr>
        <w:t>on</w:t>
      </w:r>
      <w:r>
        <w:rPr>
          <w:spacing w:val="12"/>
          <w:w w:val="105"/>
          <w:sz w:val="22"/>
        </w:rPr>
        <w:t> </w:t>
      </w:r>
      <w:r>
        <w:rPr>
          <w:w w:val="105"/>
          <w:sz w:val="22"/>
        </w:rPr>
        <w:t>the</w:t>
      </w:r>
      <w:r>
        <w:rPr>
          <w:spacing w:val="8"/>
          <w:w w:val="105"/>
          <w:sz w:val="22"/>
        </w:rPr>
        <w:t> </w:t>
      </w:r>
      <w:r>
        <w:rPr>
          <w:w w:val="105"/>
          <w:sz w:val="22"/>
        </w:rPr>
        <w:t>Control</w:t>
      </w:r>
      <w:r>
        <w:rPr>
          <w:spacing w:val="5"/>
          <w:w w:val="105"/>
          <w:sz w:val="22"/>
        </w:rPr>
        <w:t> </w:t>
      </w:r>
      <w:r>
        <w:rPr>
          <w:w w:val="105"/>
          <w:sz w:val="22"/>
        </w:rPr>
        <w:t>Sheet</w:t>
      </w:r>
      <w:r>
        <w:rPr>
          <w:spacing w:val="10"/>
          <w:w w:val="105"/>
          <w:sz w:val="22"/>
        </w:rPr>
        <w:t> </w:t>
      </w:r>
      <w:r>
        <w:rPr>
          <w:w w:val="105"/>
          <w:sz w:val="22"/>
        </w:rPr>
        <w:t>Page.</w:t>
      </w:r>
    </w:p>
    <w:p>
      <w:pPr>
        <w:pStyle w:val="ListParagraph"/>
        <w:numPr>
          <w:ilvl w:val="0"/>
          <w:numId w:val="4"/>
        </w:numPr>
        <w:tabs>
          <w:tab w:pos="1109" w:val="left" w:leader="none"/>
          <w:tab w:pos="1110" w:val="left" w:leader="none"/>
        </w:tabs>
        <w:spacing w:line="240" w:lineRule="auto" w:before="76" w:after="0"/>
        <w:ind w:left="1109" w:right="0" w:hanging="359"/>
        <w:jc w:val="left"/>
        <w:rPr>
          <w:sz w:val="22"/>
        </w:rPr>
      </w:pPr>
      <w:r>
        <w:rPr>
          <w:w w:val="110"/>
          <w:sz w:val="22"/>
        </w:rPr>
        <w:t>If the candidate is not found, there will be a notification</w:t>
      </w:r>
      <w:r>
        <w:rPr>
          <w:spacing w:val="-8"/>
          <w:w w:val="110"/>
          <w:sz w:val="22"/>
        </w:rPr>
        <w:t> </w:t>
      </w:r>
      <w:r>
        <w:rPr>
          <w:w w:val="110"/>
          <w:sz w:val="22"/>
        </w:rPr>
        <w:t>message.</w:t>
      </w:r>
    </w:p>
    <w:p>
      <w:pPr>
        <w:pStyle w:val="BodyText"/>
        <w:spacing w:before="7"/>
        <w:rPr>
          <w:sz w:val="16"/>
        </w:rPr>
      </w:pPr>
      <w:r>
        <w:rPr/>
        <w:pict>
          <v:group style="position:absolute;margin-left:56.399998pt;margin-top:11.783186pt;width:463.95pt;height:123.5pt;mso-position-horizontal-relative:page;mso-position-vertical-relative:paragraph;z-index:-688;mso-wrap-distance-left:0;mso-wrap-distance-right:0" coordorigin="1128,236" coordsize="9279,2470">
            <v:line style="position:absolute" from="1128,240" to="10397,240" stroked="true" strokeweight=".479999pt" strokecolor="#000000">
              <v:stroke dashstyle="solid"/>
            </v:line>
            <v:line style="position:absolute" from="1133,245" to="1133,2705" stroked="true" strokeweight=".479999pt" strokecolor="#000000">
              <v:stroke dashstyle="solid"/>
            </v:line>
            <v:line style="position:absolute" from="1128,2700" to="10397,2700" stroked="true" strokeweight=".479988pt" strokecolor="#000000">
              <v:stroke dashstyle="solid"/>
            </v:line>
            <v:line style="position:absolute" from="10402,236" to="10402,2705" stroked="true" strokeweight=".480011pt" strokecolor="#000000">
              <v:stroke dashstyle="solid"/>
            </v:line>
            <v:shape style="position:absolute;left:2095;top:485;width:7352;height:2103" type="#_x0000_t75" stroked="false">
              <v:imagedata r:id="rId27" o:title=""/>
            </v:shape>
            <v:shape style="position:absolute;left:2085;top:307;width:7371;height:2343" coordorigin="2086,308" coordsize="7371,2343" path="m9456,2650l2086,2650,2086,308,9456,308,9456,312,2095,312,2090,317,2095,317,2095,2640,2090,2640,2095,2645,9456,2645,9456,2650xm2095,317l2090,317,2095,312,2095,317xm9446,317l2095,317,2095,312,9446,312,9446,317xm9446,2645l9446,312,9451,317,9456,317,9456,2640,9451,2640,9446,2645xm9456,317l9451,317,9446,312,9456,312,9456,317xm2095,2645l2090,2640,2095,2640,2095,2645xm9446,2645l2095,2645,2095,2640,9446,2640,9446,2645xm9456,2645l9446,2645,9451,2640,9456,2640,9456,2645xe" filled="true" fillcolor="#4f80bc" stroked="false">
              <v:path arrowok="t"/>
              <v:fill type="solid"/>
            </v:shape>
            <w10:wrap type="topAndBottom"/>
          </v:group>
        </w:pict>
      </w:r>
    </w:p>
    <w:p>
      <w:pPr>
        <w:pStyle w:val="BodyText"/>
        <w:spacing w:before="8"/>
        <w:rPr>
          <w:sz w:val="21"/>
        </w:rPr>
      </w:pPr>
    </w:p>
    <w:p>
      <w:pPr>
        <w:pStyle w:val="BodyText"/>
        <w:spacing w:before="92"/>
        <w:ind w:left="392"/>
      </w:pPr>
      <w:r>
        <w:rPr>
          <w:w w:val="120"/>
        </w:rPr>
        <w:t>Transfer</w:t>
      </w:r>
      <w:r>
        <w:rPr>
          <w:spacing w:val="-7"/>
          <w:w w:val="120"/>
        </w:rPr>
        <w:t> </w:t>
      </w:r>
      <w:r>
        <w:rPr>
          <w:w w:val="120"/>
        </w:rPr>
        <w:t>a</w:t>
      </w:r>
      <w:r>
        <w:rPr>
          <w:spacing w:val="-13"/>
          <w:w w:val="120"/>
        </w:rPr>
        <w:t> </w:t>
      </w:r>
      <w:r>
        <w:rPr>
          <w:w w:val="120"/>
        </w:rPr>
        <w:t>result</w:t>
      </w:r>
      <w:r>
        <w:rPr>
          <w:spacing w:val="-9"/>
          <w:w w:val="120"/>
        </w:rPr>
        <w:t> </w:t>
      </w:r>
      <w:r>
        <w:rPr>
          <w:w w:val="120"/>
        </w:rPr>
        <w:t>entry</w:t>
      </w:r>
      <w:r>
        <w:rPr>
          <w:spacing w:val="-15"/>
          <w:w w:val="120"/>
        </w:rPr>
        <w:t> </w:t>
      </w:r>
      <w:r>
        <w:rPr>
          <w:w w:val="120"/>
        </w:rPr>
        <w:t>line</w:t>
      </w:r>
      <w:r>
        <w:rPr>
          <w:spacing w:val="-11"/>
          <w:w w:val="120"/>
        </w:rPr>
        <w:t> </w:t>
      </w:r>
      <w:r>
        <w:rPr>
          <w:w w:val="120"/>
        </w:rPr>
        <w:t>to</w:t>
      </w:r>
      <w:r>
        <w:rPr>
          <w:spacing w:val="-9"/>
          <w:w w:val="120"/>
        </w:rPr>
        <w:t> </w:t>
      </w:r>
      <w:r>
        <w:rPr>
          <w:w w:val="120"/>
        </w:rPr>
        <w:t>yourself:</w:t>
      </w:r>
    </w:p>
    <w:p>
      <w:pPr>
        <w:pStyle w:val="ListParagraph"/>
        <w:numPr>
          <w:ilvl w:val="0"/>
          <w:numId w:val="2"/>
        </w:numPr>
        <w:tabs>
          <w:tab w:pos="751" w:val="left" w:leader="none"/>
          <w:tab w:pos="752" w:val="left" w:leader="none"/>
        </w:tabs>
        <w:spacing w:line="240" w:lineRule="auto" w:before="135" w:after="0"/>
        <w:ind w:left="751" w:right="0" w:hanging="359"/>
        <w:jc w:val="left"/>
        <w:rPr>
          <w:sz w:val="22"/>
        </w:rPr>
      </w:pPr>
      <w:r>
        <w:rPr>
          <w:w w:val="110"/>
          <w:sz w:val="22"/>
        </w:rPr>
        <w:t>click on Search for</w:t>
      </w:r>
      <w:r>
        <w:rPr>
          <w:spacing w:val="-10"/>
          <w:w w:val="110"/>
          <w:sz w:val="22"/>
        </w:rPr>
        <w:t> </w:t>
      </w:r>
      <w:r>
        <w:rPr>
          <w:w w:val="110"/>
          <w:sz w:val="22"/>
        </w:rPr>
        <w:t>Candidate</w:t>
      </w:r>
    </w:p>
    <w:p>
      <w:pPr>
        <w:pStyle w:val="ListParagraph"/>
        <w:numPr>
          <w:ilvl w:val="0"/>
          <w:numId w:val="2"/>
        </w:numPr>
        <w:tabs>
          <w:tab w:pos="751" w:val="left" w:leader="none"/>
          <w:tab w:pos="752" w:val="left" w:leader="none"/>
        </w:tabs>
        <w:spacing w:line="240" w:lineRule="auto" w:before="76" w:after="0"/>
        <w:ind w:left="751" w:right="0" w:hanging="359"/>
        <w:jc w:val="left"/>
        <w:rPr>
          <w:sz w:val="22"/>
        </w:rPr>
      </w:pPr>
      <w:r>
        <w:rPr>
          <w:w w:val="110"/>
          <w:sz w:val="22"/>
        </w:rPr>
        <w:t>enter either the candidate’s NSN or both their Exam Centre Code and Exam</w:t>
      </w:r>
      <w:r>
        <w:rPr>
          <w:spacing w:val="16"/>
          <w:w w:val="110"/>
          <w:sz w:val="22"/>
        </w:rPr>
        <w:t> </w:t>
      </w:r>
      <w:r>
        <w:rPr>
          <w:w w:val="110"/>
          <w:sz w:val="22"/>
        </w:rPr>
        <w:t>Code</w:t>
      </w:r>
    </w:p>
    <w:p>
      <w:pPr>
        <w:pStyle w:val="ListParagraph"/>
        <w:numPr>
          <w:ilvl w:val="0"/>
          <w:numId w:val="2"/>
        </w:numPr>
        <w:tabs>
          <w:tab w:pos="751" w:val="left" w:leader="none"/>
          <w:tab w:pos="752" w:val="left" w:leader="none"/>
        </w:tabs>
        <w:spacing w:line="240" w:lineRule="auto" w:before="74" w:after="0"/>
        <w:ind w:left="751" w:right="0" w:hanging="359"/>
        <w:jc w:val="left"/>
        <w:rPr>
          <w:sz w:val="22"/>
        </w:rPr>
      </w:pPr>
      <w:r>
        <w:rPr>
          <w:w w:val="110"/>
          <w:sz w:val="22"/>
        </w:rPr>
        <w:t>select the relevant standard number from the drop-down</w:t>
      </w:r>
      <w:r>
        <w:rPr>
          <w:spacing w:val="1"/>
          <w:w w:val="110"/>
          <w:sz w:val="22"/>
        </w:rPr>
        <w:t> </w:t>
      </w:r>
      <w:r>
        <w:rPr>
          <w:w w:val="110"/>
          <w:sz w:val="22"/>
        </w:rPr>
        <w:t>list</w:t>
      </w:r>
    </w:p>
    <w:p>
      <w:pPr>
        <w:pStyle w:val="ListParagraph"/>
        <w:numPr>
          <w:ilvl w:val="0"/>
          <w:numId w:val="2"/>
        </w:numPr>
        <w:tabs>
          <w:tab w:pos="751" w:val="left" w:leader="none"/>
          <w:tab w:pos="752" w:val="left" w:leader="none"/>
        </w:tabs>
        <w:spacing w:line="240" w:lineRule="auto" w:before="76" w:after="0"/>
        <w:ind w:left="751" w:right="0" w:hanging="359"/>
        <w:jc w:val="left"/>
        <w:rPr>
          <w:sz w:val="22"/>
        </w:rPr>
      </w:pPr>
      <w:r>
        <w:rPr>
          <w:w w:val="105"/>
          <w:sz w:val="22"/>
        </w:rPr>
        <w:t>click</w:t>
      </w:r>
      <w:r>
        <w:rPr>
          <w:spacing w:val="15"/>
          <w:w w:val="105"/>
          <w:sz w:val="22"/>
        </w:rPr>
        <w:t> </w:t>
      </w:r>
      <w:r>
        <w:rPr>
          <w:w w:val="105"/>
          <w:sz w:val="22"/>
        </w:rPr>
        <w:t>on</w:t>
      </w:r>
      <w:r>
        <w:rPr>
          <w:spacing w:val="10"/>
          <w:w w:val="105"/>
          <w:sz w:val="22"/>
        </w:rPr>
        <w:t> </w:t>
      </w:r>
      <w:r>
        <w:rPr>
          <w:w w:val="105"/>
          <w:sz w:val="22"/>
        </w:rPr>
        <w:t>Search.</w:t>
      </w:r>
      <w:r>
        <w:rPr>
          <w:spacing w:val="11"/>
          <w:w w:val="105"/>
          <w:sz w:val="22"/>
        </w:rPr>
        <w:t> </w:t>
      </w:r>
      <w:r>
        <w:rPr>
          <w:w w:val="105"/>
          <w:sz w:val="22"/>
        </w:rPr>
        <w:t>If</w:t>
      </w:r>
      <w:r>
        <w:rPr>
          <w:spacing w:val="12"/>
          <w:w w:val="105"/>
          <w:sz w:val="22"/>
        </w:rPr>
        <w:t> </w:t>
      </w:r>
      <w:r>
        <w:rPr>
          <w:w w:val="105"/>
          <w:sz w:val="22"/>
        </w:rPr>
        <w:t>the</w:t>
      </w:r>
      <w:r>
        <w:rPr>
          <w:spacing w:val="11"/>
          <w:w w:val="105"/>
          <w:sz w:val="22"/>
        </w:rPr>
        <w:t> </w:t>
      </w:r>
      <w:r>
        <w:rPr>
          <w:w w:val="105"/>
          <w:sz w:val="22"/>
        </w:rPr>
        <w:t>candidate</w:t>
      </w:r>
      <w:r>
        <w:rPr>
          <w:spacing w:val="10"/>
          <w:w w:val="105"/>
          <w:sz w:val="22"/>
        </w:rPr>
        <w:t> </w:t>
      </w:r>
      <w:r>
        <w:rPr>
          <w:w w:val="105"/>
          <w:sz w:val="22"/>
        </w:rPr>
        <w:t>is</w:t>
      </w:r>
      <w:r>
        <w:rPr>
          <w:spacing w:val="9"/>
          <w:w w:val="105"/>
          <w:sz w:val="22"/>
        </w:rPr>
        <w:t> </w:t>
      </w:r>
      <w:r>
        <w:rPr>
          <w:w w:val="105"/>
          <w:sz w:val="22"/>
        </w:rPr>
        <w:t>found,</w:t>
      </w:r>
      <w:r>
        <w:rPr>
          <w:spacing w:val="12"/>
          <w:w w:val="105"/>
          <w:sz w:val="22"/>
        </w:rPr>
        <w:t> </w:t>
      </w:r>
      <w:r>
        <w:rPr>
          <w:w w:val="105"/>
          <w:sz w:val="22"/>
        </w:rPr>
        <w:t>the</w:t>
      </w:r>
      <w:r>
        <w:rPr>
          <w:spacing w:val="10"/>
          <w:w w:val="105"/>
          <w:sz w:val="22"/>
        </w:rPr>
        <w:t> </w:t>
      </w:r>
      <w:r>
        <w:rPr>
          <w:w w:val="105"/>
          <w:sz w:val="22"/>
        </w:rPr>
        <w:t>details</w:t>
      </w:r>
      <w:r>
        <w:rPr>
          <w:spacing w:val="11"/>
          <w:w w:val="105"/>
          <w:sz w:val="22"/>
        </w:rPr>
        <w:t> </w:t>
      </w:r>
      <w:r>
        <w:rPr>
          <w:w w:val="105"/>
          <w:sz w:val="22"/>
        </w:rPr>
        <w:t>of</w:t>
      </w:r>
      <w:r>
        <w:rPr>
          <w:spacing w:val="15"/>
          <w:w w:val="105"/>
          <w:sz w:val="22"/>
        </w:rPr>
        <w:t> </w:t>
      </w:r>
      <w:r>
        <w:rPr>
          <w:w w:val="105"/>
          <w:sz w:val="22"/>
        </w:rPr>
        <w:t>the</w:t>
      </w:r>
      <w:r>
        <w:rPr>
          <w:spacing w:val="10"/>
          <w:w w:val="105"/>
          <w:sz w:val="22"/>
        </w:rPr>
        <w:t> </w:t>
      </w:r>
      <w:r>
        <w:rPr>
          <w:w w:val="105"/>
          <w:sz w:val="22"/>
        </w:rPr>
        <w:t>requested</w:t>
      </w:r>
      <w:r>
        <w:rPr>
          <w:spacing w:val="10"/>
          <w:w w:val="105"/>
          <w:sz w:val="22"/>
        </w:rPr>
        <w:t> </w:t>
      </w:r>
      <w:r>
        <w:rPr>
          <w:w w:val="105"/>
          <w:sz w:val="22"/>
        </w:rPr>
        <w:t>portfolio</w:t>
      </w:r>
      <w:r>
        <w:rPr>
          <w:spacing w:val="15"/>
          <w:w w:val="105"/>
          <w:sz w:val="22"/>
        </w:rPr>
        <w:t> </w:t>
      </w:r>
      <w:r>
        <w:rPr>
          <w:w w:val="105"/>
          <w:sz w:val="22"/>
        </w:rPr>
        <w:t>will</w:t>
      </w:r>
      <w:r>
        <w:rPr>
          <w:spacing w:val="11"/>
          <w:w w:val="105"/>
          <w:sz w:val="22"/>
        </w:rPr>
        <w:t> </w:t>
      </w:r>
      <w:r>
        <w:rPr>
          <w:w w:val="105"/>
          <w:sz w:val="22"/>
        </w:rPr>
        <w:t>appear</w:t>
      </w:r>
    </w:p>
    <w:p>
      <w:pPr>
        <w:pStyle w:val="ListParagraph"/>
        <w:numPr>
          <w:ilvl w:val="0"/>
          <w:numId w:val="2"/>
        </w:numPr>
        <w:tabs>
          <w:tab w:pos="751" w:val="left" w:leader="none"/>
          <w:tab w:pos="752" w:val="left" w:leader="none"/>
        </w:tabs>
        <w:spacing w:line="240" w:lineRule="auto" w:before="73" w:after="0"/>
        <w:ind w:left="751" w:right="0" w:hanging="359"/>
        <w:jc w:val="left"/>
        <w:rPr>
          <w:sz w:val="22"/>
        </w:rPr>
      </w:pPr>
      <w:r>
        <w:rPr/>
        <w:pict>
          <v:group style="position:absolute;margin-left:56.639999pt;margin-top:22.199549pt;width:481.95pt;height:93.5pt;mso-position-horizontal-relative:page;mso-position-vertical-relative:paragraph;z-index:-664;mso-wrap-distance-left:0;mso-wrap-distance-right:0" coordorigin="1133,444" coordsize="9639,1870">
            <v:line style="position:absolute" from="1133,449" to="10762,449" stroked="true" strokeweight=".480011pt" strokecolor="#000000">
              <v:stroke dashstyle="solid"/>
            </v:line>
            <v:line style="position:absolute" from="1138,454" to="1138,2314" stroked="true" strokeweight=".480005pt" strokecolor="#000000">
              <v:stroke dashstyle="solid"/>
            </v:line>
            <v:line style="position:absolute" from="1133,2309" to="10762,2309" stroked="true" strokeweight=".479966pt" strokecolor="#000000">
              <v:stroke dashstyle="solid"/>
            </v:line>
            <v:line style="position:absolute" from="10766,444" to="10766,2314" stroked="true" strokeweight=".480011pt" strokecolor="#000000">
              <v:stroke dashstyle="solid"/>
            </v:line>
            <v:shape style="position:absolute;left:2040;top:602;width:7824;height:1302" type="#_x0000_t75" stroked="false">
              <v:imagedata r:id="rId28" o:title=""/>
            </v:shape>
            <v:shape style="position:absolute;left:2030;top:516;width:7844;height:1733" coordorigin="2030,516" coordsize="7844,1733" path="m9874,2249l2030,2249,2030,516,9874,516,9874,521,2040,521,2035,526,2040,526,2040,2239,2035,2239,2040,2244,9874,2244,9874,2249xm2040,526l2035,526,2040,521,2040,526xm9864,526l2040,526,2040,521,9864,521,9864,526xm9864,2244l9864,521,9869,526,9874,526,9874,2239,9869,2239,9864,2244xm9874,526l9869,526,9864,521,9874,521,9874,526xm2040,2244l2035,2239,2040,2239,2040,2244xm9864,2244l2040,2244,2040,2239,9864,2239,9864,2244xm9874,2244l9864,2244,9869,2239,9874,2239,9874,2244xe" filled="true" fillcolor="#4f80bc" stroked="false">
              <v:path arrowok="t"/>
              <v:fill type="solid"/>
            </v:shape>
            <w10:wrap type="topAndBottom"/>
          </v:group>
        </w:pict>
      </w:r>
      <w:r>
        <w:rPr>
          <w:w w:val="110"/>
          <w:sz w:val="22"/>
        </w:rPr>
        <w:t>click on</w:t>
      </w:r>
      <w:r>
        <w:rPr>
          <w:spacing w:val="3"/>
          <w:w w:val="110"/>
          <w:sz w:val="22"/>
        </w:rPr>
        <w:t> </w:t>
      </w:r>
      <w:r>
        <w:rPr>
          <w:w w:val="110"/>
          <w:sz w:val="22"/>
        </w:rPr>
        <w:t>Accept.</w:t>
      </w:r>
    </w:p>
    <w:p>
      <w:pPr>
        <w:pStyle w:val="BodyText"/>
        <w:rPr>
          <w:sz w:val="10"/>
        </w:rPr>
      </w:pPr>
    </w:p>
    <w:p>
      <w:pPr>
        <w:pStyle w:val="BodyText"/>
        <w:spacing w:before="92"/>
        <w:ind w:left="392" w:right="683"/>
      </w:pPr>
      <w:r>
        <w:rPr/>
        <w:pict>
          <v:group style="position:absolute;margin-left:56.639999pt;margin-top:35.869530pt;width:481.95pt;height:103pt;mso-position-horizontal-relative:page;mso-position-vertical-relative:paragraph;z-index:-640;mso-wrap-distance-left:0;mso-wrap-distance-right:0" coordorigin="1133,717" coordsize="9639,2060">
            <v:line style="position:absolute" from="1133,722" to="10762,722" stroked="true" strokeweight=".480011pt" strokecolor="#000000">
              <v:stroke dashstyle="solid"/>
            </v:line>
            <v:line style="position:absolute" from="1138,727" to="1138,2777" stroked="true" strokeweight=".480005pt" strokecolor="#000000">
              <v:stroke dashstyle="solid"/>
            </v:line>
            <v:line style="position:absolute" from="1133,2772" to="10762,2772" stroked="true" strokeweight=".480011pt" strokecolor="#000000">
              <v:stroke dashstyle="solid"/>
            </v:line>
            <v:line style="position:absolute" from="10766,717" to="10766,2777" stroked="true" strokeweight=".480011pt" strokecolor="#000000">
              <v:stroke dashstyle="solid"/>
            </v:line>
            <v:shape style="position:absolute;left:2054;top:966;width:7573;height:1736" type="#_x0000_t75" stroked="false">
              <v:imagedata r:id="rId29" o:title=""/>
            </v:shape>
            <v:shape style="position:absolute;left:2044;top:799;width:7844;height:1913" coordorigin="2045,799" coordsize="7844,1913" path="m9888,2712l2045,2712,2045,799,9888,799,9888,804,2054,804,2050,809,2054,809,2054,2702,2050,2702,2054,2707,9888,2707,9888,2712xm2054,809l2050,809,2054,804,2054,809xm9878,809l2054,809,2054,804,9878,804,9878,809xm9878,2707l9878,804,9883,809,9888,809,9888,2702,9883,2702,9878,2707xm9888,809l9883,809,9878,804,9888,804,9888,809xm2054,2707l2050,2702,2054,2702,2054,2707xm9878,2707l2054,2707,2054,2702,9878,2702,9878,2707xm9888,2707l9878,2707,9883,2702,9888,2702,9888,2707xe" filled="true" fillcolor="#000000" stroked="false">
              <v:path arrowok="t"/>
              <v:fill type="solid"/>
            </v:shape>
            <w10:wrap type="topAndBottom"/>
          </v:group>
        </w:pict>
      </w:r>
      <w:r>
        <w:rPr>
          <w:w w:val="110"/>
        </w:rPr>
        <w:t>The result entry line will be transferred (your name and marker code will appear) and you can add a result by clicking on Edit and then on Save.</w:t>
      </w:r>
    </w:p>
    <w:p>
      <w:pPr>
        <w:pStyle w:val="BodyText"/>
        <w:rPr>
          <w:sz w:val="10"/>
        </w:rPr>
      </w:pPr>
    </w:p>
    <w:p>
      <w:pPr>
        <w:pStyle w:val="BodyText"/>
        <w:spacing w:before="92"/>
        <w:ind w:left="392"/>
      </w:pPr>
      <w:r>
        <w:rPr>
          <w:w w:val="110"/>
        </w:rPr>
        <w:t>When you transfer a result entry line from another marker to yourself a Supplementary Page will be created on your Marking Pages.</w:t>
      </w:r>
    </w:p>
    <w:p>
      <w:pPr>
        <w:pStyle w:val="BodyText"/>
        <w:spacing w:before="10"/>
        <w:rPr>
          <w:sz w:val="20"/>
        </w:rPr>
      </w:pPr>
    </w:p>
    <w:p>
      <w:pPr>
        <w:pStyle w:val="BodyText"/>
        <w:ind w:left="392"/>
      </w:pPr>
      <w:r>
        <w:rPr>
          <w:w w:val="110"/>
        </w:rPr>
        <w:t>Additional portfolios transferred from other markers to you will appear on this Supplementary Page</w:t>
      </w:r>
    </w:p>
    <w:p>
      <w:pPr>
        <w:pStyle w:val="BodyText"/>
        <w:spacing w:before="2"/>
        <w:ind w:left="392"/>
      </w:pPr>
      <w:r>
        <w:rPr/>
        <w:pict>
          <v:group style="position:absolute;margin-left:56.639999pt;margin-top:18.649534pt;width:481.95pt;height:84.5pt;mso-position-horizontal-relative:page;mso-position-vertical-relative:paragraph;z-index:-616;mso-wrap-distance-left:0;mso-wrap-distance-right:0" coordorigin="1133,373" coordsize="9639,1690">
            <v:line style="position:absolute" from="1133,378" to="10762,378" stroked="true" strokeweight=".480011pt" strokecolor="#000000">
              <v:stroke dashstyle="solid"/>
            </v:line>
            <v:line style="position:absolute" from="1138,383" to="1138,2063" stroked="true" strokeweight=".480005pt" strokecolor="#000000">
              <v:stroke dashstyle="solid"/>
            </v:line>
            <v:line style="position:absolute" from="1133,2058" to="10762,2058" stroked="true" strokeweight=".480011pt" strokecolor="#000000">
              <v:stroke dashstyle="solid"/>
            </v:line>
            <v:line style="position:absolute" from="10766,373" to="10766,2063" stroked="true" strokeweight=".480011pt" strokecolor="#000000">
              <v:stroke dashstyle="solid"/>
            </v:line>
            <v:shape style="position:absolute;left:2040;top:454;width:7824;height:1544" type="#_x0000_t75" stroked="false">
              <v:imagedata r:id="rId30" o:title=""/>
            </v:shape>
            <v:shape style="position:absolute;left:2030;top:445;width:7844;height:1563" coordorigin="2030,445" coordsize="7844,1563" path="m9874,2007l2030,2007,2030,445,9874,445,9874,450,2040,450,2035,455,2040,455,2040,1998,2035,1998,2040,2003,9874,2003,9874,2007xm2040,455l2035,455,2040,450,2040,455xm9864,455l2040,455,2040,450,9864,450,9864,455xm9864,2003l9864,450,9869,455,9874,455,9874,1998,9869,1998,9864,2003xm9874,455l9869,455,9864,450,9874,450,9874,455xm2040,2003l2035,1998,2040,1998,2040,2003xm9864,2003l2040,2003,2040,1998,9864,1998,9864,2003xm9874,2003l9864,2003,9869,1998,9874,1998,9874,2003xe" filled="true" fillcolor="#4f80bc" stroked="false">
              <v:path arrowok="t"/>
              <v:fill type="solid"/>
            </v:shape>
            <w10:wrap type="topAndBottom"/>
          </v:group>
        </w:pict>
      </w:r>
      <w:r>
        <w:rPr>
          <w:w w:val="110"/>
        </w:rPr>
        <w:t>until there are 40 result entry lines, when a new Supplementary Page will be created.</w:t>
      </w:r>
    </w:p>
    <w:p>
      <w:pPr>
        <w:spacing w:after="0"/>
        <w:sectPr>
          <w:pgSz w:w="11910" w:h="16840"/>
          <w:pgMar w:header="0" w:footer="863" w:top="940" w:bottom="1060" w:left="740" w:right="580"/>
        </w:sectPr>
      </w:pPr>
    </w:p>
    <w:p>
      <w:pPr>
        <w:pStyle w:val="BodyText"/>
        <w:spacing w:before="62"/>
        <w:ind w:left="392" w:right="1011"/>
      </w:pPr>
      <w:r>
        <w:rPr>
          <w:w w:val="110"/>
        </w:rPr>
        <w:t>When you transfer a result entry line from another marker to yourself warning messages might appear.</w:t>
      </w:r>
    </w:p>
    <w:p>
      <w:pPr>
        <w:pStyle w:val="ListParagraph"/>
        <w:numPr>
          <w:ilvl w:val="0"/>
          <w:numId w:val="2"/>
        </w:numPr>
        <w:tabs>
          <w:tab w:pos="751" w:val="left" w:leader="none"/>
          <w:tab w:pos="752" w:val="left" w:leader="none"/>
        </w:tabs>
        <w:spacing w:line="240" w:lineRule="auto" w:before="138" w:after="0"/>
        <w:ind w:left="752" w:right="766" w:hanging="360"/>
        <w:jc w:val="left"/>
        <w:rPr>
          <w:sz w:val="22"/>
        </w:rPr>
      </w:pPr>
      <w:r>
        <w:rPr>
          <w:w w:val="110"/>
          <w:sz w:val="22"/>
        </w:rPr>
        <w:t>‘Warning: forbidden learner’ or ‘Warning: forbidden provider’ mean the result entry line belongs to a specific candidate indicated as forbidden, or a candidate from a school indicated as a forbidden provider.</w:t>
      </w:r>
    </w:p>
    <w:p>
      <w:pPr>
        <w:pStyle w:val="ListParagraph"/>
        <w:numPr>
          <w:ilvl w:val="0"/>
          <w:numId w:val="5"/>
        </w:numPr>
        <w:tabs>
          <w:tab w:pos="1111" w:val="left" w:leader="none"/>
          <w:tab w:pos="1112" w:val="left" w:leader="none"/>
        </w:tabs>
        <w:spacing w:line="240" w:lineRule="auto" w:before="76" w:after="0"/>
        <w:ind w:left="1111" w:right="0" w:hanging="359"/>
        <w:jc w:val="left"/>
        <w:rPr>
          <w:sz w:val="22"/>
        </w:rPr>
      </w:pPr>
      <w:r>
        <w:rPr>
          <w:w w:val="105"/>
          <w:sz w:val="22"/>
        </w:rPr>
        <w:t>Do not mark the</w:t>
      </w:r>
      <w:r>
        <w:rPr>
          <w:spacing w:val="16"/>
          <w:w w:val="105"/>
          <w:sz w:val="22"/>
        </w:rPr>
        <w:t> </w:t>
      </w:r>
      <w:r>
        <w:rPr>
          <w:w w:val="105"/>
          <w:sz w:val="22"/>
        </w:rPr>
        <w:t>portfolio.</w:t>
      </w:r>
    </w:p>
    <w:p>
      <w:pPr>
        <w:pStyle w:val="ListParagraph"/>
        <w:numPr>
          <w:ilvl w:val="0"/>
          <w:numId w:val="5"/>
        </w:numPr>
        <w:tabs>
          <w:tab w:pos="1111" w:val="left" w:leader="none"/>
          <w:tab w:pos="1112" w:val="left" w:leader="none"/>
        </w:tabs>
        <w:spacing w:line="240" w:lineRule="auto" w:before="73" w:after="0"/>
        <w:ind w:left="1111" w:right="0" w:hanging="359"/>
        <w:jc w:val="left"/>
        <w:rPr>
          <w:sz w:val="22"/>
        </w:rPr>
      </w:pPr>
      <w:r>
        <w:rPr>
          <w:w w:val="105"/>
          <w:sz w:val="22"/>
        </w:rPr>
        <w:t>Send it to your panel leader who will reallocate</w:t>
      </w:r>
      <w:r>
        <w:rPr>
          <w:spacing w:val="14"/>
          <w:w w:val="105"/>
          <w:sz w:val="22"/>
        </w:rPr>
        <w:t> </w:t>
      </w:r>
      <w:r>
        <w:rPr>
          <w:w w:val="105"/>
          <w:sz w:val="22"/>
        </w:rPr>
        <w:t>the result entry line.</w:t>
      </w:r>
    </w:p>
    <w:p>
      <w:pPr>
        <w:pStyle w:val="BodyText"/>
      </w:pPr>
    </w:p>
    <w:p>
      <w:pPr>
        <w:pStyle w:val="ListParagraph"/>
        <w:numPr>
          <w:ilvl w:val="0"/>
          <w:numId w:val="2"/>
        </w:numPr>
        <w:tabs>
          <w:tab w:pos="752" w:val="left" w:leader="none"/>
          <w:tab w:pos="753" w:val="left" w:leader="none"/>
        </w:tabs>
        <w:spacing w:line="240" w:lineRule="auto" w:before="1" w:after="0"/>
        <w:ind w:left="750" w:right="923" w:hanging="358"/>
        <w:jc w:val="left"/>
        <w:rPr>
          <w:sz w:val="22"/>
        </w:rPr>
      </w:pPr>
      <w:r>
        <w:rPr>
          <w:w w:val="115"/>
          <w:sz w:val="22"/>
        </w:rPr>
        <w:t>‘Reallocation failed: result code already present’ means a marker has already entered a result for this candidate for the same</w:t>
      </w:r>
      <w:r>
        <w:rPr>
          <w:spacing w:val="-36"/>
          <w:w w:val="115"/>
          <w:sz w:val="22"/>
        </w:rPr>
        <w:t> </w:t>
      </w:r>
      <w:r>
        <w:rPr>
          <w:w w:val="115"/>
          <w:sz w:val="22"/>
        </w:rPr>
        <w:t>standard.</w:t>
      </w:r>
    </w:p>
    <w:p>
      <w:pPr>
        <w:pStyle w:val="ListParagraph"/>
        <w:numPr>
          <w:ilvl w:val="0"/>
          <w:numId w:val="6"/>
        </w:numPr>
        <w:tabs>
          <w:tab w:pos="1111" w:val="left" w:leader="none"/>
          <w:tab w:pos="1112" w:val="left" w:leader="none"/>
        </w:tabs>
        <w:spacing w:line="240" w:lineRule="auto" w:before="77" w:after="0"/>
        <w:ind w:left="1112" w:right="0" w:hanging="360"/>
        <w:jc w:val="left"/>
        <w:rPr>
          <w:sz w:val="22"/>
        </w:rPr>
      </w:pPr>
      <w:r>
        <w:rPr>
          <w:w w:val="110"/>
          <w:sz w:val="22"/>
        </w:rPr>
        <w:t>Check that you have entered the NSN</w:t>
      </w:r>
      <w:r>
        <w:rPr>
          <w:spacing w:val="4"/>
          <w:w w:val="110"/>
          <w:sz w:val="22"/>
        </w:rPr>
        <w:t> </w:t>
      </w:r>
      <w:r>
        <w:rPr>
          <w:w w:val="110"/>
          <w:sz w:val="22"/>
        </w:rPr>
        <w:t>correctly.</w:t>
      </w:r>
    </w:p>
    <w:p>
      <w:pPr>
        <w:pStyle w:val="ListParagraph"/>
        <w:numPr>
          <w:ilvl w:val="0"/>
          <w:numId w:val="6"/>
        </w:numPr>
        <w:tabs>
          <w:tab w:pos="1111" w:val="left" w:leader="none"/>
          <w:tab w:pos="1112" w:val="left" w:leader="none"/>
        </w:tabs>
        <w:spacing w:line="240" w:lineRule="auto" w:before="73" w:after="0"/>
        <w:ind w:left="1112" w:right="616" w:hanging="360"/>
        <w:jc w:val="left"/>
        <w:rPr>
          <w:sz w:val="22"/>
        </w:rPr>
      </w:pPr>
      <w:r>
        <w:rPr>
          <w:w w:val="105"/>
          <w:sz w:val="22"/>
        </w:rPr>
        <w:t>If you are still unable to transfer the result entry line, mark the portfolio as normal and email the result and the NSN to your</w:t>
      </w:r>
      <w:r>
        <w:rPr>
          <w:spacing w:val="23"/>
          <w:w w:val="105"/>
          <w:sz w:val="22"/>
        </w:rPr>
        <w:t> </w:t>
      </w:r>
      <w:r>
        <w:rPr>
          <w:w w:val="105"/>
          <w:sz w:val="22"/>
        </w:rPr>
        <w:t>NAF.</w:t>
      </w:r>
    </w:p>
    <w:p>
      <w:pPr>
        <w:pStyle w:val="ListParagraph"/>
        <w:numPr>
          <w:ilvl w:val="0"/>
          <w:numId w:val="6"/>
        </w:numPr>
        <w:tabs>
          <w:tab w:pos="1111" w:val="left" w:leader="none"/>
          <w:tab w:pos="1112" w:val="left" w:leader="none"/>
        </w:tabs>
        <w:spacing w:line="240" w:lineRule="auto" w:before="75" w:after="0"/>
        <w:ind w:left="1112" w:right="736" w:hanging="360"/>
        <w:jc w:val="left"/>
        <w:rPr>
          <w:sz w:val="22"/>
        </w:rPr>
      </w:pPr>
      <w:r>
        <w:rPr>
          <w:w w:val="110"/>
          <w:sz w:val="22"/>
        </w:rPr>
        <w:t>Download</w:t>
      </w:r>
      <w:r>
        <w:rPr>
          <w:spacing w:val="-7"/>
          <w:w w:val="110"/>
          <w:sz w:val="22"/>
        </w:rPr>
        <w:t> </w:t>
      </w:r>
      <w:r>
        <w:rPr>
          <w:w w:val="110"/>
          <w:sz w:val="22"/>
        </w:rPr>
        <w:t>and</w:t>
      </w:r>
      <w:r>
        <w:rPr>
          <w:spacing w:val="-5"/>
          <w:w w:val="110"/>
          <w:sz w:val="22"/>
        </w:rPr>
        <w:t> </w:t>
      </w:r>
      <w:r>
        <w:rPr>
          <w:w w:val="110"/>
          <w:sz w:val="22"/>
        </w:rPr>
        <w:t>complete</w:t>
      </w:r>
      <w:r>
        <w:rPr>
          <w:spacing w:val="-10"/>
          <w:w w:val="110"/>
          <w:sz w:val="22"/>
        </w:rPr>
        <w:t> </w:t>
      </w:r>
      <w:r>
        <w:rPr>
          <w:w w:val="110"/>
          <w:sz w:val="22"/>
        </w:rPr>
        <w:t>an</w:t>
      </w:r>
      <w:r>
        <w:rPr>
          <w:spacing w:val="-6"/>
          <w:w w:val="110"/>
          <w:sz w:val="22"/>
        </w:rPr>
        <w:t> </w:t>
      </w:r>
      <w:r>
        <w:rPr>
          <w:w w:val="110"/>
          <w:sz w:val="22"/>
        </w:rPr>
        <w:t>Irregular</w:t>
      </w:r>
      <w:r>
        <w:rPr>
          <w:spacing w:val="-7"/>
          <w:w w:val="110"/>
          <w:sz w:val="22"/>
        </w:rPr>
        <w:t> </w:t>
      </w:r>
      <w:r>
        <w:rPr>
          <w:w w:val="110"/>
          <w:sz w:val="22"/>
        </w:rPr>
        <w:t>Answer</w:t>
      </w:r>
      <w:r>
        <w:rPr>
          <w:spacing w:val="-8"/>
          <w:w w:val="110"/>
          <w:sz w:val="22"/>
        </w:rPr>
        <w:t> </w:t>
      </w:r>
      <w:r>
        <w:rPr>
          <w:w w:val="110"/>
          <w:sz w:val="22"/>
        </w:rPr>
        <w:t>Booklet</w:t>
      </w:r>
      <w:r>
        <w:rPr>
          <w:spacing w:val="-4"/>
          <w:w w:val="110"/>
          <w:sz w:val="22"/>
        </w:rPr>
        <w:t> </w:t>
      </w:r>
      <w:r>
        <w:rPr>
          <w:w w:val="110"/>
          <w:sz w:val="22"/>
        </w:rPr>
        <w:t>Form</w:t>
      </w:r>
      <w:r>
        <w:rPr>
          <w:spacing w:val="-10"/>
          <w:w w:val="110"/>
          <w:sz w:val="22"/>
        </w:rPr>
        <w:t> </w:t>
      </w:r>
      <w:r>
        <w:rPr>
          <w:w w:val="110"/>
          <w:sz w:val="22"/>
        </w:rPr>
        <w:t>and</w:t>
      </w:r>
      <w:r>
        <w:rPr>
          <w:spacing w:val="-8"/>
          <w:w w:val="110"/>
          <w:sz w:val="22"/>
        </w:rPr>
        <w:t> </w:t>
      </w:r>
      <w:r>
        <w:rPr>
          <w:w w:val="110"/>
          <w:sz w:val="22"/>
        </w:rPr>
        <w:t>include</w:t>
      </w:r>
      <w:r>
        <w:rPr>
          <w:spacing w:val="-9"/>
          <w:w w:val="110"/>
          <w:sz w:val="22"/>
        </w:rPr>
        <w:t> </w:t>
      </w:r>
      <w:r>
        <w:rPr>
          <w:w w:val="110"/>
          <w:sz w:val="22"/>
        </w:rPr>
        <w:t>the</w:t>
      </w:r>
      <w:r>
        <w:rPr>
          <w:spacing w:val="-7"/>
          <w:w w:val="110"/>
          <w:sz w:val="22"/>
        </w:rPr>
        <w:t> </w:t>
      </w:r>
      <w:r>
        <w:rPr>
          <w:w w:val="110"/>
          <w:sz w:val="22"/>
        </w:rPr>
        <w:t>other</w:t>
      </w:r>
      <w:r>
        <w:rPr>
          <w:spacing w:val="-9"/>
          <w:w w:val="110"/>
          <w:sz w:val="22"/>
        </w:rPr>
        <w:t> </w:t>
      </w:r>
      <w:r>
        <w:rPr>
          <w:w w:val="110"/>
          <w:sz w:val="22"/>
        </w:rPr>
        <w:t>marker’s code, the candidate’s NSN, and the standard</w:t>
      </w:r>
      <w:r>
        <w:rPr>
          <w:spacing w:val="9"/>
          <w:w w:val="110"/>
          <w:sz w:val="22"/>
        </w:rPr>
        <w:t> </w:t>
      </w:r>
      <w:r>
        <w:rPr>
          <w:w w:val="110"/>
          <w:sz w:val="22"/>
        </w:rPr>
        <w:t>number.</w:t>
      </w:r>
    </w:p>
    <w:p>
      <w:pPr>
        <w:pStyle w:val="ListParagraph"/>
        <w:numPr>
          <w:ilvl w:val="0"/>
          <w:numId w:val="6"/>
        </w:numPr>
        <w:tabs>
          <w:tab w:pos="1111" w:val="left" w:leader="none"/>
          <w:tab w:pos="1112" w:val="left" w:leader="none"/>
        </w:tabs>
        <w:spacing w:line="240" w:lineRule="auto" w:before="75" w:after="0"/>
        <w:ind w:left="1111" w:right="0" w:hanging="359"/>
        <w:jc w:val="left"/>
        <w:rPr>
          <w:sz w:val="22"/>
        </w:rPr>
      </w:pPr>
      <w:r>
        <w:rPr>
          <w:w w:val="110"/>
          <w:sz w:val="22"/>
        </w:rPr>
        <w:t>Send the form and portfolio to your NAF using a orange courier</w:t>
      </w:r>
      <w:r>
        <w:rPr>
          <w:spacing w:val="-8"/>
          <w:w w:val="110"/>
          <w:sz w:val="22"/>
        </w:rPr>
        <w:t> </w:t>
      </w:r>
      <w:r>
        <w:rPr>
          <w:w w:val="110"/>
          <w:sz w:val="22"/>
        </w:rPr>
        <w:t>bag.</w:t>
      </w:r>
    </w:p>
    <w:p>
      <w:pPr>
        <w:pStyle w:val="BodyText"/>
        <w:spacing w:before="119"/>
        <w:ind w:left="392" w:right="769"/>
      </w:pPr>
      <w:r>
        <w:rPr>
          <w:w w:val="105"/>
        </w:rPr>
        <w:t>If you cannot find a result entry line on the  Marking Pages after  using Search for  Candidate,  wait until after 13 December when Additional Pages become visible. If there is still no result on the entry line, download and complete a </w:t>
      </w:r>
      <w:r>
        <w:rPr>
          <w:color w:val="0000FF"/>
          <w:w w:val="105"/>
          <w:u w:val="single" w:color="0000FF"/>
        </w:rPr>
        <w:t>Supplementary Result Sheet/Change  of  Result  Sheet</w:t>
      </w:r>
      <w:r>
        <w:rPr>
          <w:w w:val="105"/>
        </w:rPr>
        <w:t>,  copy  it  for your records, then email it to your</w:t>
      </w:r>
      <w:r>
        <w:rPr>
          <w:spacing w:val="27"/>
          <w:w w:val="105"/>
        </w:rPr>
        <w:t> </w:t>
      </w:r>
      <w:r>
        <w:rPr>
          <w:w w:val="105"/>
        </w:rPr>
        <w:t>NAF.</w:t>
      </w:r>
    </w:p>
    <w:p>
      <w:pPr>
        <w:pStyle w:val="BodyText"/>
        <w:spacing w:before="5"/>
        <w:rPr>
          <w:sz w:val="31"/>
        </w:rPr>
      </w:pPr>
    </w:p>
    <w:p>
      <w:pPr>
        <w:pStyle w:val="Heading1"/>
        <w:spacing w:before="0"/>
      </w:pPr>
      <w:bookmarkStart w:name="_TOC_250021" w:id="27"/>
      <w:bookmarkEnd w:id="27"/>
      <w:r>
        <w:rPr/>
        <w:t>AFTER MARKING</w:t>
      </w:r>
    </w:p>
    <w:p>
      <w:pPr>
        <w:pStyle w:val="BodyText"/>
        <w:spacing w:line="252" w:lineRule="exact" w:before="239"/>
        <w:ind w:left="392"/>
      </w:pPr>
      <w:r>
        <w:rPr>
          <w:w w:val="120"/>
        </w:rPr>
        <w:t>Marker report</w:t>
      </w:r>
    </w:p>
    <w:p>
      <w:pPr>
        <w:pStyle w:val="BodyText"/>
        <w:ind w:left="392" w:right="769"/>
      </w:pPr>
      <w:r>
        <w:rPr>
          <w:w w:val="105"/>
        </w:rPr>
        <w:t>All markers are to write a Marker’s Report. An electronic version of the relevant section (Part B), Design and Visual Communication Template may be downloaded from the Marker Section of the website.</w:t>
      </w:r>
    </w:p>
    <w:p>
      <w:pPr>
        <w:pStyle w:val="BodyText"/>
        <w:spacing w:before="121"/>
        <w:ind w:left="392"/>
      </w:pPr>
      <w:r>
        <w:rPr>
          <w:w w:val="110"/>
        </w:rPr>
        <w:t>The report is in two parts: Part A: Marking Administration, and Part B: Assessment Report.</w:t>
      </w:r>
    </w:p>
    <w:p>
      <w:pPr>
        <w:pStyle w:val="BodyText"/>
        <w:spacing w:before="9"/>
        <w:rPr>
          <w:sz w:val="20"/>
        </w:rPr>
      </w:pPr>
    </w:p>
    <w:p>
      <w:pPr>
        <w:pStyle w:val="Heading1"/>
        <w:spacing w:before="0"/>
        <w:ind w:left="3272"/>
      </w:pPr>
      <w:r>
        <w:rPr>
          <w:w w:val="105"/>
        </w:rPr>
        <w:t>Part A: Marking Administration</w:t>
      </w:r>
    </w:p>
    <w:p>
      <w:pPr>
        <w:pStyle w:val="BodyText"/>
        <w:spacing w:before="59"/>
        <w:ind w:left="392"/>
      </w:pPr>
      <w:r>
        <w:rPr>
          <w:w w:val="105"/>
        </w:rPr>
        <w:t>NZQA wants to know:</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w w:val="110"/>
          <w:sz w:val="22"/>
        </w:rPr>
        <w:t>how successful the marking process was</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w w:val="110"/>
          <w:sz w:val="22"/>
        </w:rPr>
        <w:t>how successful the marking administration process</w:t>
      </w:r>
      <w:r>
        <w:rPr>
          <w:spacing w:val="7"/>
          <w:w w:val="110"/>
          <w:sz w:val="22"/>
        </w:rPr>
        <w:t> </w:t>
      </w:r>
      <w:r>
        <w:rPr>
          <w:w w:val="110"/>
          <w:sz w:val="22"/>
        </w:rPr>
        <w:t>was</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w w:val="105"/>
          <w:sz w:val="22"/>
        </w:rPr>
        <w:t>what should be improved for next</w:t>
      </w:r>
      <w:r>
        <w:rPr>
          <w:spacing w:val="27"/>
          <w:w w:val="105"/>
          <w:sz w:val="22"/>
        </w:rPr>
        <w:t> </w:t>
      </w:r>
      <w:r>
        <w:rPr>
          <w:w w:val="105"/>
          <w:sz w:val="22"/>
        </w:rPr>
        <w:t>time.</w:t>
      </w:r>
    </w:p>
    <w:p>
      <w:pPr>
        <w:pStyle w:val="BodyText"/>
        <w:spacing w:before="7"/>
        <w:rPr>
          <w:sz w:val="20"/>
        </w:rPr>
      </w:pPr>
    </w:p>
    <w:p>
      <w:pPr>
        <w:pStyle w:val="Heading1"/>
        <w:spacing w:before="0"/>
        <w:ind w:left="736" w:right="897"/>
        <w:jc w:val="center"/>
      </w:pPr>
      <w:r>
        <w:rPr>
          <w:w w:val="115"/>
        </w:rPr>
        <w:t>Part B: Assessment Report</w:t>
      </w:r>
    </w:p>
    <w:p>
      <w:pPr>
        <w:pStyle w:val="BodyText"/>
        <w:spacing w:before="61"/>
        <w:ind w:left="392" w:right="674"/>
      </w:pPr>
      <w:r>
        <w:rPr>
          <w:w w:val="110"/>
        </w:rPr>
        <w:t>This part requires you to comment about the evidence you observed which will explain the results and assist teachers to help candidates in following years.</w:t>
      </w:r>
    </w:p>
    <w:p>
      <w:pPr>
        <w:pStyle w:val="BodyText"/>
        <w:spacing w:before="121"/>
        <w:ind w:left="392" w:right="769"/>
      </w:pPr>
      <w:r>
        <w:rPr>
          <w:w w:val="105"/>
        </w:rPr>
        <w:t>For help with completing Part B please read, Writing Report Notes, which is available on the Forms   for Markers</w:t>
      </w:r>
      <w:r>
        <w:rPr>
          <w:spacing w:val="5"/>
          <w:w w:val="105"/>
        </w:rPr>
        <w:t> </w:t>
      </w:r>
      <w:r>
        <w:rPr>
          <w:w w:val="105"/>
        </w:rPr>
        <w:t>page.</w:t>
      </w:r>
    </w:p>
    <w:p>
      <w:pPr>
        <w:pStyle w:val="BodyText"/>
        <w:spacing w:before="118"/>
        <w:ind w:left="392" w:right="769"/>
      </w:pPr>
      <w:r>
        <w:rPr>
          <w:w w:val="110"/>
        </w:rPr>
        <w:t>Email the completed Parts A and B to your panel leader as soon after marking as possible. These should arrive no later than Wednesday 18 December 2019.</w:t>
      </w:r>
    </w:p>
    <w:p>
      <w:pPr>
        <w:pStyle w:val="BodyText"/>
        <w:spacing w:before="120"/>
        <w:ind w:left="392" w:right="769"/>
      </w:pPr>
      <w:r>
        <w:rPr>
          <w:w w:val="105"/>
        </w:rPr>
        <w:t>Your panel leader will use each Marker Report to produce Part A  and B of the Panel leader Report   for</w:t>
      </w:r>
      <w:r>
        <w:rPr>
          <w:spacing w:val="2"/>
          <w:w w:val="105"/>
        </w:rPr>
        <w:t> </w:t>
      </w:r>
      <w:r>
        <w:rPr>
          <w:w w:val="105"/>
        </w:rPr>
        <w:t>NZQA.</w:t>
      </w:r>
    </w:p>
    <w:p>
      <w:pPr>
        <w:pStyle w:val="BodyText"/>
        <w:spacing w:before="4"/>
        <w:rPr>
          <w:sz w:val="32"/>
        </w:rPr>
      </w:pPr>
    </w:p>
    <w:p>
      <w:pPr>
        <w:pStyle w:val="BodyText"/>
        <w:ind w:left="392"/>
      </w:pPr>
      <w:r>
        <w:rPr>
          <w:w w:val="115"/>
        </w:rPr>
        <w:t>Marking evaluation</w:t>
      </w:r>
    </w:p>
    <w:p>
      <w:pPr>
        <w:pStyle w:val="BodyText"/>
        <w:spacing w:before="122"/>
        <w:ind w:left="392"/>
      </w:pPr>
      <w:r>
        <w:rPr>
          <w:w w:val="110"/>
        </w:rPr>
        <w:t>Use the </w:t>
      </w:r>
      <w:r>
        <w:rPr>
          <w:color w:val="0000FF"/>
          <w:w w:val="110"/>
          <w:u w:val="single" w:color="0000FF"/>
        </w:rPr>
        <w:t>Marker Evaluation Form</w:t>
      </w:r>
      <w:r>
        <w:rPr>
          <w:color w:val="0000FF"/>
          <w:w w:val="110"/>
        </w:rPr>
        <w:t> </w:t>
      </w:r>
      <w:r>
        <w:rPr>
          <w:w w:val="110"/>
        </w:rPr>
        <w:t>link to access and complete the evaluation form and then submit.</w:t>
      </w:r>
    </w:p>
    <w:p>
      <w:pPr>
        <w:spacing w:after="0"/>
        <w:sectPr>
          <w:pgSz w:w="11910" w:h="16840"/>
          <w:pgMar w:header="0" w:footer="863" w:top="940" w:bottom="1060" w:left="740" w:right="580"/>
        </w:sectPr>
      </w:pPr>
    </w:p>
    <w:p>
      <w:pPr>
        <w:pStyle w:val="Heading3"/>
        <w:spacing w:before="63"/>
      </w:pPr>
      <w:bookmarkStart w:name="_TOC_250020" w:id="28"/>
      <w:bookmarkEnd w:id="28"/>
      <w:r>
        <w:rPr>
          <w:w w:val="115"/>
        </w:rPr>
        <w:t>Final pick-up of portfolios</w:t>
      </w:r>
    </w:p>
    <w:p>
      <w:pPr>
        <w:pStyle w:val="BodyText"/>
        <w:ind w:left="392"/>
      </w:pPr>
      <w:r>
        <w:rPr>
          <w:w w:val="105"/>
        </w:rPr>
        <w:t>The panel leader will give approval for the courier collection of portfolios.</w:t>
      </w:r>
    </w:p>
    <w:p>
      <w:pPr>
        <w:pStyle w:val="BodyText"/>
        <w:spacing w:before="10"/>
        <w:rPr>
          <w:sz w:val="21"/>
        </w:rPr>
      </w:pPr>
    </w:p>
    <w:p>
      <w:pPr>
        <w:pStyle w:val="BodyText"/>
        <w:ind w:left="392"/>
      </w:pPr>
      <w:r>
        <w:rPr>
          <w:w w:val="120"/>
        </w:rPr>
        <w:t>Preparation of cartons/bags</w:t>
      </w:r>
    </w:p>
    <w:p>
      <w:pPr>
        <w:pStyle w:val="BodyText"/>
        <w:spacing w:before="121"/>
        <w:ind w:left="392"/>
      </w:pPr>
      <w:r>
        <w:rPr>
          <w:w w:val="110"/>
        </w:rPr>
        <w:t>Before sending by courier:</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w w:val="115"/>
          <w:sz w:val="22"/>
        </w:rPr>
        <w:t>seal the</w:t>
      </w:r>
      <w:r>
        <w:rPr>
          <w:spacing w:val="-6"/>
          <w:w w:val="115"/>
          <w:sz w:val="22"/>
        </w:rPr>
        <w:t> </w:t>
      </w:r>
      <w:r>
        <w:rPr>
          <w:w w:val="115"/>
          <w:sz w:val="22"/>
        </w:rPr>
        <w:t>cartons/bags</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w w:val="110"/>
          <w:sz w:val="22"/>
        </w:rPr>
        <w:t>double check that the Bluestar courier label covers the original label, on the</w:t>
      </w:r>
      <w:r>
        <w:rPr>
          <w:spacing w:val="15"/>
          <w:w w:val="110"/>
          <w:sz w:val="22"/>
        </w:rPr>
        <w:t> </w:t>
      </w:r>
      <w:r>
        <w:rPr>
          <w:w w:val="110"/>
          <w:sz w:val="22"/>
        </w:rPr>
        <w:t>cartons/bags</w:t>
      </w:r>
    </w:p>
    <w:p>
      <w:pPr>
        <w:pStyle w:val="ListParagraph"/>
        <w:numPr>
          <w:ilvl w:val="0"/>
          <w:numId w:val="2"/>
        </w:numPr>
        <w:tabs>
          <w:tab w:pos="749" w:val="left" w:leader="none"/>
          <w:tab w:pos="750" w:val="left" w:leader="none"/>
        </w:tabs>
        <w:spacing w:line="240" w:lineRule="auto" w:before="133" w:after="0"/>
        <w:ind w:left="750" w:right="1087" w:hanging="358"/>
        <w:jc w:val="left"/>
        <w:rPr>
          <w:sz w:val="22"/>
        </w:rPr>
      </w:pPr>
      <w:r>
        <w:rPr>
          <w:w w:val="110"/>
          <w:sz w:val="22"/>
        </w:rPr>
        <w:t>ensure that the Customer Use label has been removed and placed on the Answer Booklet Control Sheet.</w:t>
      </w:r>
    </w:p>
    <w:p>
      <w:pPr>
        <w:pStyle w:val="ListParagraph"/>
        <w:numPr>
          <w:ilvl w:val="0"/>
          <w:numId w:val="2"/>
        </w:numPr>
        <w:tabs>
          <w:tab w:pos="749" w:val="left" w:leader="none"/>
          <w:tab w:pos="750" w:val="left" w:leader="none"/>
        </w:tabs>
        <w:spacing w:line="240" w:lineRule="auto" w:before="135" w:after="0"/>
        <w:ind w:left="749" w:right="0" w:hanging="357"/>
        <w:jc w:val="left"/>
        <w:rPr>
          <w:sz w:val="22"/>
        </w:rPr>
      </w:pPr>
      <w:r>
        <w:rPr>
          <w:w w:val="110"/>
          <w:sz w:val="22"/>
        </w:rPr>
        <w:t>telephone CourierPost on 0800 501 501 to arrange for collection on one of the dates</w:t>
      </w:r>
      <w:r>
        <w:rPr>
          <w:spacing w:val="19"/>
          <w:w w:val="110"/>
          <w:sz w:val="22"/>
        </w:rPr>
        <w:t> </w:t>
      </w:r>
      <w:r>
        <w:rPr>
          <w:w w:val="110"/>
          <w:sz w:val="22"/>
        </w:rPr>
        <w:t>below</w:t>
      </w:r>
    </w:p>
    <w:p>
      <w:pPr>
        <w:pStyle w:val="ListParagraph"/>
        <w:numPr>
          <w:ilvl w:val="0"/>
          <w:numId w:val="2"/>
        </w:numPr>
        <w:tabs>
          <w:tab w:pos="749" w:val="left" w:leader="none"/>
          <w:tab w:pos="750" w:val="left" w:leader="none"/>
        </w:tabs>
        <w:spacing w:line="240" w:lineRule="auto" w:before="136" w:after="0"/>
        <w:ind w:left="750" w:right="744" w:hanging="358"/>
        <w:jc w:val="left"/>
        <w:rPr>
          <w:sz w:val="22"/>
        </w:rPr>
      </w:pPr>
      <w:r>
        <w:rPr>
          <w:w w:val="110"/>
          <w:sz w:val="22"/>
        </w:rPr>
        <w:t>state that you require an NZQA DVC pick-up (large cartons) and give your address (someone will need to be present for the collection of the</w:t>
      </w:r>
      <w:r>
        <w:rPr>
          <w:spacing w:val="-10"/>
          <w:w w:val="110"/>
          <w:sz w:val="22"/>
        </w:rPr>
        <w:t> </w:t>
      </w:r>
      <w:r>
        <w:rPr>
          <w:w w:val="110"/>
          <w:sz w:val="22"/>
        </w:rPr>
        <w:t>portfolios).</w:t>
      </w:r>
    </w:p>
    <w:p>
      <w:pPr>
        <w:pStyle w:val="BodyText"/>
        <w:spacing w:before="1"/>
        <w:rPr>
          <w:sz w:val="31"/>
        </w:rPr>
      </w:pPr>
    </w:p>
    <w:p>
      <w:pPr>
        <w:pStyle w:val="BodyText"/>
        <w:spacing w:before="1"/>
        <w:ind w:left="392"/>
      </w:pPr>
      <w:r>
        <w:rPr>
          <w:w w:val="120"/>
        </w:rPr>
        <w:t>Courier arrangements</w:t>
      </w:r>
    </w:p>
    <w:p>
      <w:pPr>
        <w:pStyle w:val="BodyText"/>
        <w:spacing w:before="119"/>
        <w:ind w:left="392"/>
      </w:pPr>
      <w:r>
        <w:rPr/>
        <w:pict>
          <v:shape style="position:absolute;margin-left:56.880001pt;margin-top:24.859568pt;width:481.45pt;height:82pt;mso-position-horizontal-relative:page;mso-position-vertical-relative:paragraph;z-index:-592;mso-wrap-distance-left:0;mso-wrap-distance-right:0" type="#_x0000_t202" filled="false" stroked="true" strokeweight=".480011pt" strokecolor="#000000">
            <v:textbox inset="0,0,0,0">
              <w:txbxContent>
                <w:p>
                  <w:pPr>
                    <w:spacing w:before="120"/>
                    <w:ind w:left="105" w:right="121" w:firstLine="0"/>
                    <w:jc w:val="left"/>
                    <w:rPr>
                      <w:sz w:val="20"/>
                    </w:rPr>
                  </w:pPr>
                  <w:r>
                    <w:rPr>
                      <w:w w:val="115"/>
                      <w:sz w:val="20"/>
                    </w:rPr>
                    <w:t>Same day bookings for: 16, 17, 18 and 27 December collections, book pick-ups before 12.00 pm for pick-up by 5.30 pm.</w:t>
                  </w:r>
                </w:p>
                <w:p>
                  <w:pPr>
                    <w:pStyle w:val="BodyText"/>
                    <w:spacing w:before="8"/>
                    <w:rPr>
                      <w:sz w:val="20"/>
                    </w:rPr>
                  </w:pPr>
                </w:p>
                <w:p>
                  <w:pPr>
                    <w:spacing w:before="1"/>
                    <w:ind w:left="105" w:right="121" w:firstLine="0"/>
                    <w:jc w:val="left"/>
                    <w:rPr>
                      <w:sz w:val="20"/>
                    </w:rPr>
                  </w:pPr>
                  <w:r>
                    <w:rPr>
                      <w:w w:val="115"/>
                      <w:sz w:val="20"/>
                    </w:rPr>
                    <w:t>Advance bookings for: 19 and 23 December collections, book pick-ups before 12.00 pm on the day prior (working day), e.g., for Monday 23 December collection, book before</w:t>
                  </w:r>
                </w:p>
                <w:p>
                  <w:pPr>
                    <w:spacing w:before="0"/>
                    <w:ind w:left="105" w:right="0" w:firstLine="0"/>
                    <w:jc w:val="left"/>
                    <w:rPr>
                      <w:sz w:val="20"/>
                    </w:rPr>
                  </w:pPr>
                  <w:r>
                    <w:rPr>
                      <w:w w:val="110"/>
                      <w:sz w:val="20"/>
                    </w:rPr>
                    <w:t>12.00 pm, Friday 20 December.</w:t>
                  </w:r>
                </w:p>
              </w:txbxContent>
            </v:textbox>
            <v:stroke dashstyle="solid"/>
            <w10:wrap type="topAndBottom"/>
          </v:shape>
        </w:pict>
      </w:r>
      <w:r>
        <w:rPr>
          <w:w w:val="110"/>
        </w:rPr>
        <w:t>18 December is the preferred pick-up date of portfolios.</w:t>
      </w:r>
    </w:p>
    <w:p>
      <w:pPr>
        <w:pStyle w:val="BodyText"/>
        <w:spacing w:before="5"/>
        <w:rPr>
          <w:sz w:val="10"/>
        </w:rPr>
      </w:pPr>
    </w:p>
    <w:p>
      <w:pPr>
        <w:pStyle w:val="BodyText"/>
        <w:spacing w:before="92"/>
        <w:ind w:left="392" w:right="769"/>
      </w:pPr>
      <w:r>
        <w:rPr>
          <w:w w:val="110"/>
        </w:rPr>
        <w:t>If you are going to drop off your cartons/bags at a CourierPost depot, please inform the Marker Helpline. You must not drop cartons/bags off at a Post Shop or Post Centre.</w:t>
      </w:r>
    </w:p>
    <w:p>
      <w:pPr>
        <w:pStyle w:val="BodyText"/>
        <w:spacing w:before="10"/>
        <w:rPr>
          <w:sz w:val="20"/>
        </w:rPr>
      </w:pPr>
    </w:p>
    <w:p>
      <w:pPr>
        <w:pStyle w:val="BodyText"/>
        <w:ind w:left="392" w:right="769"/>
      </w:pPr>
      <w:r>
        <w:rPr>
          <w:w w:val="110"/>
        </w:rPr>
        <w:t>If your cartons/bags are not picked up by 23 December, you must arrange a pick-up before noon on 27 December for collection by 5.30 pm the same day.</w:t>
      </w:r>
    </w:p>
    <w:p>
      <w:pPr>
        <w:pStyle w:val="BodyText"/>
        <w:spacing w:before="10"/>
        <w:rPr>
          <w:sz w:val="20"/>
        </w:rPr>
      </w:pPr>
    </w:p>
    <w:p>
      <w:pPr>
        <w:pStyle w:val="BodyText"/>
        <w:ind w:left="392" w:right="769"/>
      </w:pPr>
      <w:r>
        <w:rPr>
          <w:w w:val="105"/>
        </w:rPr>
        <w:t>Do not return split consignments. All your cartons of portfolios must be picked up by CourierPost or dropped off at CourierPost in one consignment.</w:t>
      </w:r>
    </w:p>
    <w:p>
      <w:pPr>
        <w:pStyle w:val="BodyText"/>
        <w:spacing w:before="5"/>
        <w:rPr>
          <w:sz w:val="32"/>
        </w:rPr>
      </w:pPr>
    </w:p>
    <w:p>
      <w:pPr>
        <w:pStyle w:val="BodyText"/>
        <w:ind w:left="392"/>
      </w:pPr>
      <w:r>
        <w:rPr>
          <w:w w:val="115"/>
        </w:rPr>
        <w:t>Courier tracking</w:t>
      </w:r>
    </w:p>
    <w:p>
      <w:pPr>
        <w:pStyle w:val="BodyText"/>
        <w:spacing w:before="119"/>
        <w:ind w:left="392"/>
      </w:pPr>
      <w:r>
        <w:rPr>
          <w:w w:val="110"/>
        </w:rPr>
        <w:t>To track the courier consignments, complete the following steps:</w:t>
      </w:r>
    </w:p>
    <w:p>
      <w:pPr>
        <w:pStyle w:val="ListParagraph"/>
        <w:numPr>
          <w:ilvl w:val="0"/>
          <w:numId w:val="2"/>
        </w:numPr>
        <w:tabs>
          <w:tab w:pos="751" w:val="left" w:leader="none"/>
          <w:tab w:pos="752" w:val="left" w:leader="none"/>
        </w:tabs>
        <w:spacing w:line="240" w:lineRule="auto" w:before="138" w:after="0"/>
        <w:ind w:left="751" w:right="0" w:hanging="359"/>
        <w:jc w:val="left"/>
        <w:rPr>
          <w:sz w:val="22"/>
        </w:rPr>
      </w:pPr>
      <w:r>
        <w:rPr>
          <w:w w:val="105"/>
          <w:sz w:val="22"/>
        </w:rPr>
        <w:t>log on to</w:t>
      </w:r>
      <w:r>
        <w:rPr>
          <w:color w:val="0000FF"/>
          <w:spacing w:val="12"/>
          <w:w w:val="105"/>
          <w:sz w:val="22"/>
        </w:rPr>
        <w:t> </w:t>
      </w:r>
      <w:hyperlink r:id="rId8">
        <w:r>
          <w:rPr>
            <w:color w:val="0000FF"/>
            <w:w w:val="105"/>
            <w:sz w:val="22"/>
            <w:u w:val="single" w:color="0000FF"/>
          </w:rPr>
          <w:t>www.courierpost.co.nz</w:t>
        </w:r>
      </w:hyperlink>
    </w:p>
    <w:p>
      <w:pPr>
        <w:pStyle w:val="ListParagraph"/>
        <w:numPr>
          <w:ilvl w:val="0"/>
          <w:numId w:val="2"/>
        </w:numPr>
        <w:tabs>
          <w:tab w:pos="751" w:val="left" w:leader="none"/>
          <w:tab w:pos="752" w:val="left" w:leader="none"/>
        </w:tabs>
        <w:spacing w:line="240" w:lineRule="auto" w:before="74" w:after="0"/>
        <w:ind w:left="752" w:right="666" w:hanging="360"/>
        <w:jc w:val="left"/>
        <w:rPr>
          <w:sz w:val="22"/>
        </w:rPr>
      </w:pPr>
      <w:r>
        <w:rPr>
          <w:w w:val="105"/>
          <w:sz w:val="22"/>
        </w:rPr>
        <w:t>enter the consignment number (from the Sender Tracking Label portion of the courier ticket) in  the Track &amp; Trace</w:t>
      </w:r>
      <w:r>
        <w:rPr>
          <w:spacing w:val="8"/>
          <w:w w:val="105"/>
          <w:sz w:val="22"/>
        </w:rPr>
        <w:t> </w:t>
      </w:r>
      <w:r>
        <w:rPr>
          <w:w w:val="105"/>
          <w:sz w:val="22"/>
        </w:rPr>
        <w:t>field</w:t>
      </w:r>
    </w:p>
    <w:p>
      <w:pPr>
        <w:pStyle w:val="ListParagraph"/>
        <w:numPr>
          <w:ilvl w:val="0"/>
          <w:numId w:val="2"/>
        </w:numPr>
        <w:tabs>
          <w:tab w:pos="751" w:val="left" w:leader="none"/>
          <w:tab w:pos="752" w:val="left" w:leader="none"/>
        </w:tabs>
        <w:spacing w:line="240" w:lineRule="auto" w:before="74" w:after="0"/>
        <w:ind w:left="752" w:right="879" w:hanging="360"/>
        <w:jc w:val="left"/>
        <w:rPr>
          <w:sz w:val="22"/>
        </w:rPr>
      </w:pPr>
      <w:r>
        <w:rPr>
          <w:w w:val="105"/>
          <w:sz w:val="22"/>
        </w:rPr>
        <w:t>click on Trace Now, view the date and time of pick-up, the courier identification, and delivery status.</w:t>
      </w:r>
    </w:p>
    <w:p>
      <w:pPr>
        <w:pStyle w:val="BodyText"/>
        <w:spacing w:before="118"/>
        <w:ind w:left="392"/>
      </w:pPr>
      <w:r>
        <w:rPr>
          <w:w w:val="110"/>
        </w:rPr>
        <w:t>Please retain all tracking numbers used for check marking until February 2020.</w:t>
      </w:r>
    </w:p>
    <w:p>
      <w:pPr>
        <w:pStyle w:val="BodyText"/>
        <w:spacing w:before="6"/>
        <w:rPr>
          <w:sz w:val="31"/>
        </w:rPr>
      </w:pPr>
    </w:p>
    <w:p>
      <w:pPr>
        <w:pStyle w:val="Heading3"/>
      </w:pPr>
      <w:bookmarkStart w:name="_TOC_250019" w:id="29"/>
      <w:bookmarkEnd w:id="29"/>
      <w:r>
        <w:rPr>
          <w:w w:val="115"/>
        </w:rPr>
        <w:t>Remaining Materials</w:t>
      </w:r>
    </w:p>
    <w:p>
      <w:pPr>
        <w:pStyle w:val="BodyText"/>
        <w:spacing w:before="118"/>
        <w:ind w:left="392" w:right="769"/>
      </w:pPr>
      <w:r>
        <w:rPr>
          <w:w w:val="110"/>
        </w:rPr>
        <w:t>Using the pre-addressed courier bag, send all Answer Booklet Control Sheets, spare assessment envelopes, unused courier bags and envelopes and Saturday Delivery stickers. Remember to retain the Customer Use label.</w:t>
      </w:r>
    </w:p>
    <w:p>
      <w:pPr>
        <w:pStyle w:val="BodyText"/>
        <w:spacing w:before="1"/>
      </w:pPr>
    </w:p>
    <w:p>
      <w:pPr>
        <w:pStyle w:val="BodyText"/>
        <w:ind w:left="392"/>
      </w:pPr>
      <w:r>
        <w:rPr>
          <w:w w:val="110"/>
        </w:rPr>
        <w:t>Do not return benchmark material. You may dispose of these at the end of February 2020.</w:t>
      </w:r>
    </w:p>
    <w:p>
      <w:pPr>
        <w:spacing w:after="0"/>
        <w:sectPr>
          <w:pgSz w:w="11910" w:h="16840"/>
          <w:pgMar w:header="0" w:footer="863" w:top="1240" w:bottom="1060" w:left="740" w:right="580"/>
        </w:sectPr>
      </w:pPr>
    </w:p>
    <w:p>
      <w:pPr>
        <w:pStyle w:val="Heading3"/>
        <w:spacing w:before="63"/>
      </w:pPr>
      <w:bookmarkStart w:name="_TOC_250018" w:id="30"/>
      <w:bookmarkEnd w:id="30"/>
      <w:r>
        <w:rPr>
          <w:w w:val="115"/>
        </w:rPr>
        <w:t>Marker Claims</w:t>
      </w:r>
    </w:p>
    <w:p>
      <w:pPr>
        <w:pStyle w:val="BodyText"/>
        <w:spacing w:before="120"/>
        <w:ind w:left="392"/>
      </w:pPr>
      <w:r>
        <w:rPr>
          <w:w w:val="105"/>
        </w:rPr>
        <w:t>Payment for marking will be made under the terms of the marker’s contract.</w:t>
      </w:r>
    </w:p>
    <w:p>
      <w:pPr>
        <w:pStyle w:val="BodyText"/>
        <w:spacing w:before="1"/>
      </w:pPr>
    </w:p>
    <w:p>
      <w:pPr>
        <w:pStyle w:val="BodyText"/>
        <w:ind w:left="392" w:right="769"/>
      </w:pPr>
      <w:r>
        <w:rPr>
          <w:w w:val="105"/>
        </w:rPr>
        <w:t>Marker claims can be made online, and if correct by 17 January, will be paid by 1 March. You can print a copy of your claim from the NZQA website at any time. If a marker claim is not complete, payment may be delayed.</w:t>
      </w:r>
    </w:p>
    <w:p>
      <w:pPr>
        <w:pStyle w:val="BodyText"/>
        <w:spacing w:before="10"/>
        <w:rPr>
          <w:sz w:val="21"/>
        </w:rPr>
      </w:pPr>
    </w:p>
    <w:p>
      <w:pPr>
        <w:pStyle w:val="BodyText"/>
        <w:ind w:left="392"/>
      </w:pPr>
      <w:r>
        <w:rPr>
          <w:w w:val="115"/>
        </w:rPr>
        <w:t>Any claims for postage, couriers, telephones, and meals must have a GST receipt.</w:t>
      </w:r>
    </w:p>
    <w:p>
      <w:pPr>
        <w:pStyle w:val="BodyText"/>
      </w:pPr>
    </w:p>
    <w:p>
      <w:pPr>
        <w:pStyle w:val="BodyText"/>
        <w:ind w:left="392"/>
      </w:pPr>
      <w:r>
        <w:rPr>
          <w:w w:val="110"/>
        </w:rPr>
        <w:t>NZQA is unable to pay for items that are classified as capital expenditure (e.g. filing cabinets and computers) or tax deductible (e.g. printer paper, cartridges, USB sticks, etc.).</w:t>
      </w:r>
    </w:p>
    <w:p>
      <w:pPr>
        <w:pStyle w:val="BodyText"/>
        <w:spacing w:before="4"/>
        <w:rPr>
          <w:sz w:val="31"/>
        </w:rPr>
      </w:pPr>
    </w:p>
    <w:p>
      <w:pPr>
        <w:pStyle w:val="BodyText"/>
        <w:ind w:left="392"/>
      </w:pPr>
      <w:r>
        <w:rPr>
          <w:w w:val="115"/>
        </w:rPr>
        <w:t>Completing your claim online</w:t>
      </w:r>
    </w:p>
    <w:p>
      <w:pPr>
        <w:pStyle w:val="BodyText"/>
        <w:spacing w:before="119"/>
        <w:ind w:left="392" w:right="769"/>
      </w:pPr>
      <w:r>
        <w:rPr>
          <w:w w:val="105"/>
        </w:rPr>
        <w:t>Log in, go to Marking Home, and click on Claim Details (this button will appear towards the end of marking) and then on Start Claim.</w:t>
      </w:r>
    </w:p>
    <w:p>
      <w:pPr>
        <w:pStyle w:val="BodyText"/>
        <w:spacing w:before="10"/>
        <w:rPr>
          <w:sz w:val="20"/>
        </w:rPr>
      </w:pPr>
    </w:p>
    <w:p>
      <w:pPr>
        <w:pStyle w:val="BodyText"/>
        <w:spacing w:before="1"/>
        <w:ind w:left="392" w:right="769"/>
      </w:pPr>
      <w:r>
        <w:rPr>
          <w:w w:val="110"/>
        </w:rPr>
        <w:t>If</w:t>
      </w:r>
      <w:r>
        <w:rPr>
          <w:spacing w:val="-8"/>
          <w:w w:val="110"/>
        </w:rPr>
        <w:t> </w:t>
      </w:r>
      <w:r>
        <w:rPr>
          <w:w w:val="110"/>
        </w:rPr>
        <w:t>the</w:t>
      </w:r>
      <w:r>
        <w:rPr>
          <w:spacing w:val="-11"/>
          <w:w w:val="110"/>
        </w:rPr>
        <w:t> </w:t>
      </w:r>
      <w:r>
        <w:rPr>
          <w:w w:val="110"/>
        </w:rPr>
        <w:t>contract</w:t>
      </w:r>
      <w:r>
        <w:rPr>
          <w:spacing w:val="-7"/>
          <w:w w:val="110"/>
        </w:rPr>
        <w:t> </w:t>
      </w:r>
      <w:r>
        <w:rPr>
          <w:w w:val="110"/>
        </w:rPr>
        <w:t>drop-down</w:t>
      </w:r>
      <w:r>
        <w:rPr>
          <w:spacing w:val="-10"/>
          <w:w w:val="110"/>
        </w:rPr>
        <w:t> </w:t>
      </w:r>
      <w:r>
        <w:rPr>
          <w:w w:val="110"/>
        </w:rPr>
        <w:t>list</w:t>
      </w:r>
      <w:r>
        <w:rPr>
          <w:spacing w:val="-7"/>
          <w:w w:val="110"/>
        </w:rPr>
        <w:t> </w:t>
      </w:r>
      <w:r>
        <w:rPr>
          <w:w w:val="110"/>
        </w:rPr>
        <w:t>is</w:t>
      </w:r>
      <w:r>
        <w:rPr>
          <w:spacing w:val="-10"/>
          <w:w w:val="110"/>
        </w:rPr>
        <w:t> </w:t>
      </w:r>
      <w:r>
        <w:rPr>
          <w:w w:val="110"/>
        </w:rPr>
        <w:t>not</w:t>
      </w:r>
      <w:r>
        <w:rPr>
          <w:spacing w:val="-8"/>
          <w:w w:val="110"/>
        </w:rPr>
        <w:t> </w:t>
      </w:r>
      <w:r>
        <w:rPr>
          <w:w w:val="110"/>
        </w:rPr>
        <w:t>Panel</w:t>
      </w:r>
      <w:r>
        <w:rPr>
          <w:spacing w:val="-11"/>
          <w:w w:val="110"/>
        </w:rPr>
        <w:t> </w:t>
      </w:r>
      <w:r>
        <w:rPr>
          <w:w w:val="110"/>
        </w:rPr>
        <w:t>Leader,</w:t>
      </w:r>
      <w:r>
        <w:rPr>
          <w:spacing w:val="-10"/>
          <w:w w:val="110"/>
        </w:rPr>
        <w:t> </w:t>
      </w:r>
      <w:r>
        <w:rPr>
          <w:w w:val="110"/>
        </w:rPr>
        <w:t>Marker,</w:t>
      </w:r>
      <w:r>
        <w:rPr>
          <w:spacing w:val="-12"/>
          <w:w w:val="110"/>
        </w:rPr>
        <w:t> </w:t>
      </w:r>
      <w:r>
        <w:rPr>
          <w:w w:val="110"/>
        </w:rPr>
        <w:t>or</w:t>
      </w:r>
      <w:r>
        <w:rPr>
          <w:spacing w:val="-10"/>
          <w:w w:val="110"/>
        </w:rPr>
        <w:t> </w:t>
      </w:r>
      <w:r>
        <w:rPr>
          <w:w w:val="110"/>
        </w:rPr>
        <w:t>Check</w:t>
      </w:r>
      <w:r>
        <w:rPr>
          <w:spacing w:val="-9"/>
          <w:w w:val="110"/>
        </w:rPr>
        <w:t> </w:t>
      </w:r>
      <w:r>
        <w:rPr>
          <w:w w:val="110"/>
        </w:rPr>
        <w:t>Marker,</w:t>
      </w:r>
      <w:r>
        <w:rPr>
          <w:spacing w:val="-8"/>
          <w:w w:val="110"/>
        </w:rPr>
        <w:t> </w:t>
      </w:r>
      <w:r>
        <w:rPr>
          <w:w w:val="110"/>
        </w:rPr>
        <w:t>call</w:t>
      </w:r>
      <w:r>
        <w:rPr>
          <w:spacing w:val="-12"/>
          <w:w w:val="110"/>
        </w:rPr>
        <w:t> </w:t>
      </w:r>
      <w:r>
        <w:rPr>
          <w:w w:val="110"/>
        </w:rPr>
        <w:t>the</w:t>
      </w:r>
      <w:r>
        <w:rPr>
          <w:spacing w:val="-10"/>
          <w:w w:val="110"/>
        </w:rPr>
        <w:t> </w:t>
      </w:r>
      <w:r>
        <w:rPr>
          <w:w w:val="110"/>
        </w:rPr>
        <w:t>Marker Helpline.</w:t>
      </w:r>
    </w:p>
    <w:p>
      <w:pPr>
        <w:pStyle w:val="BodyText"/>
        <w:spacing w:before="10"/>
        <w:rPr>
          <w:sz w:val="20"/>
        </w:rPr>
      </w:pPr>
    </w:p>
    <w:p>
      <w:pPr>
        <w:pStyle w:val="BodyText"/>
        <w:ind w:left="392" w:right="769"/>
      </w:pPr>
      <w:r>
        <w:rPr>
          <w:w w:val="110"/>
        </w:rPr>
        <w:t>If you have different marking roles on separate panels, for example, panel leader on one panel, marker on another, call the Marker Helpline before you make the second claim.</w:t>
      </w:r>
    </w:p>
    <w:p>
      <w:pPr>
        <w:pStyle w:val="BodyText"/>
        <w:spacing w:before="10"/>
        <w:rPr>
          <w:sz w:val="20"/>
        </w:rPr>
      </w:pPr>
    </w:p>
    <w:p>
      <w:pPr>
        <w:pStyle w:val="BodyText"/>
        <w:spacing w:before="1"/>
        <w:ind w:left="392"/>
      </w:pPr>
      <w:r>
        <w:rPr>
          <w:w w:val="110"/>
        </w:rPr>
        <w:t>Enter your claim entitlements on the Payment Information page, as below.</w:t>
      </w:r>
    </w:p>
    <w:p>
      <w:pPr>
        <w:pStyle w:val="BodyText"/>
        <w:spacing w:before="2"/>
        <w:rPr>
          <w:sz w:val="31"/>
        </w:rPr>
      </w:pPr>
    </w:p>
    <w:p>
      <w:pPr>
        <w:pStyle w:val="BodyText"/>
        <w:ind w:left="392"/>
      </w:pPr>
      <w:r>
        <w:rPr>
          <w:w w:val="115"/>
        </w:rPr>
        <w:t>Claim type</w:t>
      </w:r>
    </w:p>
    <w:p>
      <w:pPr>
        <w:pStyle w:val="BodyText"/>
        <w:spacing w:line="480" w:lineRule="auto" w:before="122"/>
        <w:ind w:left="392" w:right="1827"/>
      </w:pPr>
      <w:r>
        <w:rPr/>
        <w:pict>
          <v:group style="position:absolute;margin-left:56.639999pt;margin-top:49.969536pt;width:481.95pt;height:116.05pt;mso-position-horizontal-relative:page;mso-position-vertical-relative:paragraph;z-index:-98896" coordorigin="1133,999" coordsize="9639,2321">
            <v:line style="position:absolute" from="1133,1004" to="10762,1004" stroked="true" strokeweight=".480011pt" strokecolor="#000000">
              <v:stroke dashstyle="solid"/>
            </v:line>
            <v:line style="position:absolute" from="1138,1009" to="1138,3320" stroked="true" strokeweight=".480005pt" strokecolor="#000000">
              <v:stroke dashstyle="solid"/>
            </v:line>
            <v:line style="position:absolute" from="1133,3315" to="10762,3315" stroked="true" strokeweight=".480011pt" strokecolor="#000000">
              <v:stroke dashstyle="solid"/>
            </v:line>
            <v:line style="position:absolute" from="10766,999" to="10766,3320" stroked="true" strokeweight=".480011pt" strokecolor="#000000">
              <v:stroke dashstyle="solid"/>
            </v:line>
            <v:shape style="position:absolute;left:1588;top:1168;width:8651;height:2073" type="#_x0000_t75" stroked="false">
              <v:imagedata r:id="rId31" o:title=""/>
            </v:shape>
            <w10:wrap type="none"/>
          </v:group>
        </w:pict>
      </w:r>
      <w:r>
        <w:rPr>
          <w:w w:val="110"/>
        </w:rPr>
        <w:t>If you are submitting a GST invoice for your services, select the GST Invoice option. Otherwise, leave the Normal Claim option selected and choose the payment</w:t>
      </w:r>
      <w:r>
        <w:rPr>
          <w:spacing w:val="51"/>
          <w:w w:val="110"/>
        </w:rPr>
        <w:t> </w:t>
      </w:r>
      <w:r>
        <w:rPr>
          <w:w w:val="110"/>
        </w:rPr>
        <w:t>method.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BodyText"/>
        <w:spacing w:before="1"/>
        <w:ind w:left="392"/>
      </w:pPr>
      <w:r>
        <w:rPr>
          <w:w w:val="115"/>
        </w:rPr>
        <w:t>Booklet (portfolio) marking</w:t>
      </w:r>
    </w:p>
    <w:p>
      <w:pPr>
        <w:pStyle w:val="BodyText"/>
        <w:spacing w:before="119"/>
        <w:ind w:left="392"/>
      </w:pPr>
      <w:r>
        <w:rPr>
          <w:w w:val="105"/>
        </w:rPr>
        <w:t>If you marked more than one standard, there will be a line for each.</w:t>
      </w:r>
    </w:p>
    <w:p>
      <w:pPr>
        <w:pStyle w:val="BodyText"/>
      </w:pPr>
    </w:p>
    <w:p>
      <w:pPr>
        <w:pStyle w:val="BodyText"/>
        <w:ind w:left="392" w:right="1078"/>
      </w:pPr>
      <w:r>
        <w:rPr>
          <w:w w:val="105"/>
        </w:rPr>
        <w:t>The Returned box will contain the number of portfolios for which you entered. Y and Z portfolios are not included.</w:t>
      </w:r>
    </w:p>
    <w:p>
      <w:pPr>
        <w:pStyle w:val="BodyText"/>
        <w:spacing w:before="11"/>
        <w:rPr>
          <w:sz w:val="21"/>
        </w:rPr>
      </w:pPr>
    </w:p>
    <w:p>
      <w:pPr>
        <w:pStyle w:val="BodyText"/>
        <w:ind w:left="392" w:right="736"/>
      </w:pPr>
      <w:r>
        <w:rPr>
          <w:w w:val="110"/>
        </w:rPr>
        <w:t>If you were a senior marker, enter the number of portfolios you check marked in the Marked box, and include a comment in the Notes box.</w:t>
      </w:r>
    </w:p>
    <w:p>
      <w:pPr>
        <w:spacing w:after="0"/>
        <w:sectPr>
          <w:pgSz w:w="11910" w:h="16840"/>
          <w:pgMar w:header="0" w:footer="863" w:top="940" w:bottom="1060" w:left="740" w:right="580"/>
        </w:sectPr>
      </w:pPr>
    </w:p>
    <w:p>
      <w:pPr>
        <w:pStyle w:val="BodyText"/>
        <w:spacing w:before="62"/>
        <w:ind w:left="392"/>
      </w:pPr>
      <w:r>
        <w:rPr>
          <w:w w:val="120"/>
        </w:rPr>
        <w:t>Marking Fees</w:t>
      </w:r>
    </w:p>
    <w:p>
      <w:pPr>
        <w:pStyle w:val="BodyText"/>
        <w:spacing w:before="122"/>
        <w:ind w:left="392"/>
      </w:pPr>
      <w:r>
        <w:rPr>
          <w:w w:val="105"/>
        </w:rPr>
        <w:t>Tick the Marker Administration fee and Marking Incidentals boxes.</w:t>
      </w:r>
    </w:p>
    <w:p>
      <w:pPr>
        <w:pStyle w:val="BodyText"/>
        <w:ind w:left="387"/>
        <w:rPr>
          <w:sz w:val="20"/>
        </w:rPr>
      </w:pPr>
      <w:r>
        <w:rPr>
          <w:sz w:val="20"/>
        </w:rPr>
        <w:pict>
          <v:group style="width:481.95pt;height:65.650pt;mso-position-horizontal-relative:char;mso-position-vertical-relative:line" coordorigin="0,0" coordsize="9639,1313">
            <v:line style="position:absolute" from="0,5" to="9629,5" stroked="true" strokeweight=".48pt" strokecolor="#000000">
              <v:stroke dashstyle="solid"/>
            </v:line>
            <v:line style="position:absolute" from="5,10" to="5,1313" stroked="true" strokeweight=".480005pt" strokecolor="#000000">
              <v:stroke dashstyle="solid"/>
            </v:line>
            <v:line style="position:absolute" from="0,1308" to="9629,1308" stroked="true" strokeweight=".48pt" strokecolor="#000000">
              <v:stroke dashstyle="solid"/>
            </v:line>
            <v:line style="position:absolute" from="9634,0" to="9634,1313" stroked="true" strokeweight=".480011pt" strokecolor="#000000">
              <v:stroke dashstyle="solid"/>
            </v:line>
            <v:shape style="position:absolute;left:115;top:52;width:8986;height:1212" type="#_x0000_t75" stroked="false">
              <v:imagedata r:id="rId32" o:title=""/>
            </v:shape>
          </v:group>
        </w:pict>
      </w:r>
      <w:r>
        <w:rPr>
          <w:sz w:val="20"/>
        </w:rPr>
      </w:r>
    </w:p>
    <w:p>
      <w:pPr>
        <w:pStyle w:val="BodyText"/>
        <w:spacing w:before="1"/>
        <w:rPr>
          <w:sz w:val="19"/>
        </w:rPr>
      </w:pPr>
    </w:p>
    <w:p>
      <w:pPr>
        <w:pStyle w:val="BodyText"/>
        <w:spacing w:before="92"/>
        <w:ind w:left="392"/>
      </w:pPr>
      <w:r>
        <w:rPr>
          <w:w w:val="120"/>
        </w:rPr>
        <w:t>Claim summary</w:t>
      </w:r>
    </w:p>
    <w:p>
      <w:pPr>
        <w:pStyle w:val="BodyText"/>
        <w:spacing w:before="121"/>
        <w:ind w:left="392"/>
      </w:pPr>
      <w:r>
        <w:rPr>
          <w:w w:val="105"/>
        </w:rPr>
        <w:t>Click on Save. A summary of the claim will appear for you to check.</w:t>
      </w:r>
    </w:p>
    <w:p>
      <w:pPr>
        <w:pStyle w:val="BodyText"/>
      </w:pPr>
    </w:p>
    <w:p>
      <w:pPr>
        <w:pStyle w:val="BodyText"/>
        <w:spacing w:line="252" w:lineRule="exact" w:before="1"/>
        <w:ind w:left="392"/>
      </w:pPr>
      <w:r>
        <w:rPr>
          <w:w w:val="105"/>
        </w:rPr>
        <w:t>If you need to change any details, click on Edit Claim Information, make the changes, and click on</w:t>
      </w:r>
    </w:p>
    <w:p>
      <w:pPr>
        <w:pStyle w:val="BodyText"/>
        <w:spacing w:line="252" w:lineRule="exact"/>
        <w:ind w:left="392"/>
      </w:pPr>
      <w:r>
        <w:rPr>
          <w:w w:val="115"/>
          <w:u w:val="single"/>
        </w:rPr>
        <w:t>Save</w:t>
      </w:r>
      <w:r>
        <w:rPr>
          <w:w w:val="115"/>
        </w:rPr>
        <w:t> again.</w:t>
      </w:r>
    </w:p>
    <w:p>
      <w:pPr>
        <w:pStyle w:val="BodyText"/>
        <w:rPr>
          <w:sz w:val="14"/>
        </w:rPr>
      </w:pPr>
    </w:p>
    <w:p>
      <w:pPr>
        <w:pStyle w:val="BodyText"/>
        <w:spacing w:line="480" w:lineRule="auto" w:before="92"/>
        <w:ind w:left="392" w:right="1827"/>
      </w:pPr>
      <w:r>
        <w:rPr/>
        <w:pict>
          <v:group style="position:absolute;margin-left:190.559998pt;margin-top:44.509537pt;width:224.9pt;height:72.850pt;mso-position-horizontal-relative:page;mso-position-vertical-relative:paragraph;z-index:-98848" coordorigin="3811,890" coordsize="4498,1457">
            <v:shape style="position:absolute;left:3828;top:904;width:4464;height:1352" type="#_x0000_t75" stroked="false">
              <v:imagedata r:id="rId33" o:title=""/>
            </v:shape>
            <v:shape style="position:absolute;left:3811;top:890;width:4498;height:1457" coordorigin="3811,890" coordsize="4498,1457" path="m8309,2347l3811,2347,3811,890,8309,890,8309,897,3828,897,3821,905,3828,905,3828,2333,3821,2333,3828,2340,8309,2340,8309,2347xm3828,905l3821,905,3828,897,3828,905xm8292,905l3828,905,3828,897,8292,897,8292,905xm8292,2340l8292,897,8302,905,8309,905,8309,2333,8302,2333,8292,2340xm8309,905l8302,905,8292,897,8309,897,8309,905xm3828,2340l3821,2333,3828,2333,3828,2340xm8292,2340l3828,2340,3828,2333,8292,2333,8292,2340xm8309,2340l8292,2340,8302,2333,8309,2333,8309,2340xe" filled="true" fillcolor="#000000" stroked="false">
              <v:path arrowok="t"/>
              <v:fill type="solid"/>
            </v:shape>
            <w10:wrap type="none"/>
          </v:group>
        </w:pict>
      </w:r>
      <w:r>
        <w:rPr>
          <w:w w:val="105"/>
        </w:rPr>
        <w:t>Check the accuracy of all information to avoid delays in your claim being processed. When the claim is correct, tick the confirmation box, and then click on Submit Claim.</w:t>
      </w:r>
    </w:p>
    <w:p>
      <w:pPr>
        <w:pStyle w:val="BodyText"/>
        <w:rPr>
          <w:sz w:val="24"/>
        </w:rPr>
      </w:pPr>
    </w:p>
    <w:p>
      <w:pPr>
        <w:pStyle w:val="BodyText"/>
        <w:rPr>
          <w:sz w:val="24"/>
        </w:rPr>
      </w:pPr>
    </w:p>
    <w:p>
      <w:pPr>
        <w:pStyle w:val="BodyText"/>
        <w:rPr>
          <w:sz w:val="24"/>
        </w:rPr>
      </w:pPr>
    </w:p>
    <w:p>
      <w:pPr>
        <w:pStyle w:val="BodyText"/>
        <w:rPr>
          <w:sz w:val="24"/>
        </w:rPr>
      </w:pPr>
    </w:p>
    <w:p>
      <w:pPr>
        <w:pStyle w:val="BodyText"/>
        <w:tabs>
          <w:tab w:pos="7766" w:val="left" w:leader="none"/>
        </w:tabs>
        <w:spacing w:before="159"/>
        <w:ind w:left="392"/>
      </w:pPr>
      <w:r>
        <w:rPr>
          <w:w w:val="105"/>
        </w:rPr>
        <w:t>A</w:t>
      </w:r>
      <w:r>
        <w:rPr>
          <w:spacing w:val="26"/>
          <w:w w:val="105"/>
        </w:rPr>
        <w:t> </w:t>
      </w:r>
      <w:r>
        <w:rPr>
          <w:w w:val="105"/>
        </w:rPr>
        <w:t>confirmation</w:t>
      </w:r>
      <w:r>
        <w:rPr>
          <w:spacing w:val="24"/>
          <w:w w:val="105"/>
        </w:rPr>
        <w:t> </w:t>
      </w:r>
      <w:r>
        <w:rPr>
          <w:w w:val="105"/>
        </w:rPr>
        <w:t>message</w:t>
        <w:tab/>
        <w:t>will appear.</w:t>
      </w:r>
      <w:r>
        <w:rPr>
          <w:spacing w:val="18"/>
          <w:w w:val="105"/>
        </w:rPr>
        <w:t> </w:t>
      </w:r>
      <w:r>
        <w:rPr>
          <w:w w:val="105"/>
        </w:rPr>
        <w:t>You</w:t>
      </w:r>
    </w:p>
    <w:p>
      <w:pPr>
        <w:pStyle w:val="BodyText"/>
        <w:spacing w:before="2"/>
        <w:ind w:left="392"/>
      </w:pPr>
      <w:r>
        <w:rPr>
          <w:w w:val="110"/>
        </w:rPr>
        <w:t>cannot</w:t>
      </w:r>
      <w:r>
        <w:rPr>
          <w:spacing w:val="-3"/>
          <w:w w:val="110"/>
        </w:rPr>
        <w:t> </w:t>
      </w:r>
      <w:r>
        <w:rPr>
          <w:w w:val="110"/>
        </w:rPr>
        <w:t>edit</w:t>
      </w:r>
      <w:r>
        <w:rPr>
          <w:spacing w:val="-8"/>
          <w:w w:val="110"/>
        </w:rPr>
        <w:t> </w:t>
      </w:r>
      <w:r>
        <w:rPr>
          <w:w w:val="110"/>
        </w:rPr>
        <w:t>the</w:t>
      </w:r>
      <w:r>
        <w:rPr>
          <w:spacing w:val="-5"/>
          <w:w w:val="110"/>
        </w:rPr>
        <w:t> </w:t>
      </w:r>
      <w:r>
        <w:rPr>
          <w:w w:val="110"/>
        </w:rPr>
        <w:t>claim</w:t>
      </w:r>
      <w:r>
        <w:rPr>
          <w:spacing w:val="-5"/>
          <w:w w:val="110"/>
        </w:rPr>
        <w:t> </w:t>
      </w:r>
      <w:r>
        <w:rPr>
          <w:w w:val="110"/>
        </w:rPr>
        <w:t>any</w:t>
      </w:r>
      <w:r>
        <w:rPr>
          <w:spacing w:val="-9"/>
          <w:w w:val="110"/>
        </w:rPr>
        <w:t> </w:t>
      </w:r>
      <w:r>
        <w:rPr>
          <w:w w:val="110"/>
        </w:rPr>
        <w:t>further.</w:t>
      </w:r>
      <w:r>
        <w:rPr>
          <w:spacing w:val="-5"/>
          <w:w w:val="110"/>
        </w:rPr>
        <w:t> </w:t>
      </w:r>
      <w:r>
        <w:rPr>
          <w:w w:val="110"/>
        </w:rPr>
        <w:t>If</w:t>
      </w:r>
      <w:r>
        <w:rPr>
          <w:spacing w:val="-5"/>
          <w:w w:val="110"/>
        </w:rPr>
        <w:t> </w:t>
      </w:r>
      <w:r>
        <w:rPr>
          <w:w w:val="110"/>
        </w:rPr>
        <w:t>you</w:t>
      </w:r>
      <w:r>
        <w:rPr>
          <w:spacing w:val="-4"/>
          <w:w w:val="110"/>
        </w:rPr>
        <w:t> </w:t>
      </w:r>
      <w:r>
        <w:rPr>
          <w:w w:val="110"/>
        </w:rPr>
        <w:t>need</w:t>
      </w:r>
      <w:r>
        <w:rPr>
          <w:spacing w:val="-7"/>
          <w:w w:val="110"/>
        </w:rPr>
        <w:t> </w:t>
      </w:r>
      <w:r>
        <w:rPr>
          <w:w w:val="110"/>
        </w:rPr>
        <w:t>to</w:t>
      </w:r>
      <w:r>
        <w:rPr>
          <w:spacing w:val="-9"/>
          <w:w w:val="110"/>
        </w:rPr>
        <w:t> </w:t>
      </w:r>
      <w:r>
        <w:rPr>
          <w:w w:val="110"/>
        </w:rPr>
        <w:t>change</w:t>
      </w:r>
      <w:r>
        <w:rPr>
          <w:spacing w:val="-6"/>
          <w:w w:val="110"/>
        </w:rPr>
        <w:t> </w:t>
      </w:r>
      <w:r>
        <w:rPr>
          <w:w w:val="110"/>
        </w:rPr>
        <w:t>something,</w:t>
      </w:r>
      <w:r>
        <w:rPr>
          <w:spacing w:val="-7"/>
          <w:w w:val="110"/>
        </w:rPr>
        <w:t> </w:t>
      </w:r>
      <w:r>
        <w:rPr>
          <w:w w:val="110"/>
        </w:rPr>
        <w:t>call</w:t>
      </w:r>
      <w:r>
        <w:rPr>
          <w:spacing w:val="-5"/>
          <w:w w:val="110"/>
        </w:rPr>
        <w:t> </w:t>
      </w:r>
      <w:r>
        <w:rPr>
          <w:w w:val="110"/>
        </w:rPr>
        <w:t>the</w:t>
      </w:r>
      <w:r>
        <w:rPr>
          <w:spacing w:val="-9"/>
          <w:w w:val="110"/>
        </w:rPr>
        <w:t> </w:t>
      </w:r>
      <w:r>
        <w:rPr>
          <w:w w:val="110"/>
        </w:rPr>
        <w:t>Marker</w:t>
      </w:r>
      <w:r>
        <w:rPr>
          <w:spacing w:val="-5"/>
          <w:w w:val="110"/>
        </w:rPr>
        <w:t> </w:t>
      </w:r>
      <w:r>
        <w:rPr>
          <w:w w:val="110"/>
        </w:rPr>
        <w:t>Helpline.</w:t>
      </w:r>
    </w:p>
    <w:p>
      <w:pPr>
        <w:pStyle w:val="BodyText"/>
      </w:pPr>
    </w:p>
    <w:p>
      <w:pPr>
        <w:pStyle w:val="BodyText"/>
        <w:ind w:left="392" w:right="622"/>
      </w:pPr>
      <w:r>
        <w:rPr>
          <w:w w:val="110"/>
        </w:rPr>
        <w:t>If you have receipts to send, print out a copy of your completed claim form, attach the receipts and post to NZQA in an envelope from your Marker Pack.</w:t>
      </w:r>
    </w:p>
    <w:p>
      <w:pPr>
        <w:pStyle w:val="BodyText"/>
        <w:spacing w:before="11"/>
        <w:rPr>
          <w:sz w:val="21"/>
        </w:rPr>
      </w:pPr>
    </w:p>
    <w:p>
      <w:pPr>
        <w:pStyle w:val="BodyText"/>
        <w:ind w:left="392" w:right="580"/>
      </w:pPr>
      <w:r>
        <w:rPr>
          <w:w w:val="110"/>
        </w:rPr>
        <w:t>Receipts must be itemized and include the GST number. EFTPOS receipts without a GST number will not be accepted. This might delay payment of your claim.</w:t>
      </w:r>
    </w:p>
    <w:p>
      <w:pPr>
        <w:pStyle w:val="BodyText"/>
        <w:spacing w:before="4"/>
        <w:rPr>
          <w:sz w:val="31"/>
        </w:rPr>
      </w:pPr>
    </w:p>
    <w:p>
      <w:pPr>
        <w:pStyle w:val="BodyText"/>
        <w:ind w:left="392"/>
      </w:pPr>
      <w:r>
        <w:rPr>
          <w:w w:val="115"/>
        </w:rPr>
        <w:t>Tracking claims</w:t>
      </w:r>
    </w:p>
    <w:p>
      <w:pPr>
        <w:pStyle w:val="BodyText"/>
        <w:spacing w:before="119"/>
        <w:ind w:left="392" w:right="769"/>
      </w:pPr>
      <w:r>
        <w:rPr>
          <w:w w:val="105"/>
        </w:rPr>
        <w:t>To track your claim, log in and click on Claim Details. A message will appear which indicates the status of your claim.</w:t>
      </w:r>
    </w:p>
    <w:p>
      <w:pPr>
        <w:pStyle w:val="BodyText"/>
        <w:spacing w:before="11"/>
        <w:rPr>
          <w:sz w:val="21"/>
        </w:rPr>
      </w:pPr>
    </w:p>
    <w:p>
      <w:pPr>
        <w:pStyle w:val="BodyText"/>
        <w:ind w:left="392"/>
      </w:pPr>
      <w:r>
        <w:rPr>
          <w:w w:val="110"/>
        </w:rPr>
        <w:t>The initial status will be Submitted, which changes to Approved, and then to Sent for Payment.</w:t>
      </w:r>
    </w:p>
    <w:p>
      <w:pPr>
        <w:pStyle w:val="BodyText"/>
      </w:pPr>
    </w:p>
    <w:p>
      <w:pPr>
        <w:pStyle w:val="BodyText"/>
        <w:spacing w:before="1"/>
        <w:ind w:left="392" w:right="769"/>
      </w:pPr>
      <w:r>
        <w:rPr>
          <w:w w:val="105"/>
        </w:rPr>
        <w:t>If NZQA requires additional information you will be contacted and the status will be On Hold. This might delay payment of your claim.</w:t>
      </w:r>
    </w:p>
    <w:p>
      <w:pPr>
        <w:spacing w:after="0"/>
        <w:sectPr>
          <w:pgSz w:w="11910" w:h="16840"/>
          <w:pgMar w:header="0" w:footer="863" w:top="940" w:bottom="1060" w:left="740" w:right="580"/>
        </w:sectPr>
      </w:pPr>
    </w:p>
    <w:p>
      <w:pPr>
        <w:pStyle w:val="Heading1"/>
        <w:spacing w:line="367" w:lineRule="exact"/>
      </w:pPr>
      <w:bookmarkStart w:name="_TOC_250017" w:id="31"/>
      <w:bookmarkEnd w:id="31"/>
      <w:r>
        <w:rPr/>
        <w:t>LEADING A PANEL</w:t>
      </w:r>
    </w:p>
    <w:p>
      <w:pPr>
        <w:pStyle w:val="BodyText"/>
        <w:spacing w:line="252" w:lineRule="exact"/>
        <w:ind w:left="392"/>
      </w:pPr>
      <w:r>
        <w:rPr>
          <w:w w:val="115"/>
        </w:rPr>
        <w:t>(Co-ordinating Panel leader, Panel leader and Check Marker)</w:t>
      </w:r>
    </w:p>
    <w:p>
      <w:pPr>
        <w:pStyle w:val="BodyText"/>
        <w:spacing w:before="9"/>
        <w:rPr>
          <w:sz w:val="20"/>
        </w:rPr>
      </w:pPr>
    </w:p>
    <w:p>
      <w:pPr>
        <w:pStyle w:val="Heading3"/>
        <w:spacing w:before="1"/>
      </w:pPr>
      <w:bookmarkStart w:name="_TOC_250016" w:id="32"/>
      <w:bookmarkEnd w:id="32"/>
      <w:r>
        <w:rPr>
          <w:w w:val="115"/>
        </w:rPr>
        <w:t>Additional panel leader materials</w:t>
      </w:r>
    </w:p>
    <w:p>
      <w:pPr>
        <w:pStyle w:val="BodyText"/>
        <w:spacing w:before="120"/>
        <w:ind w:left="392" w:right="674"/>
      </w:pPr>
      <w:r>
        <w:rPr>
          <w:w w:val="110"/>
        </w:rPr>
        <w:t>In addition to the contents of the Marker’s Pack, Panel leaders will receive extra courier bags and labels and brown envelopes. These will be dispatched with the Marker’s Pack in October.</w:t>
      </w:r>
    </w:p>
    <w:p>
      <w:pPr>
        <w:pStyle w:val="BodyText"/>
        <w:spacing w:before="4"/>
        <w:rPr>
          <w:sz w:val="31"/>
        </w:rPr>
      </w:pPr>
    </w:p>
    <w:p>
      <w:pPr>
        <w:pStyle w:val="Heading3"/>
        <w:spacing w:before="1"/>
      </w:pPr>
      <w:bookmarkStart w:name="_TOC_250015" w:id="33"/>
      <w:bookmarkEnd w:id="33"/>
      <w:r>
        <w:rPr>
          <w:w w:val="115"/>
        </w:rPr>
        <w:t>Marking timelines</w:t>
      </w:r>
    </w:p>
    <w:p>
      <w:pPr>
        <w:pStyle w:val="BodyText"/>
        <w:spacing w:before="117"/>
        <w:ind w:left="392"/>
      </w:pPr>
      <w:r>
        <w:rPr>
          <w:w w:val="105"/>
        </w:rPr>
        <w:t>The panel leader will need to:</w:t>
      </w:r>
    </w:p>
    <w:p>
      <w:pPr>
        <w:pStyle w:val="ListParagraph"/>
        <w:numPr>
          <w:ilvl w:val="0"/>
          <w:numId w:val="2"/>
        </w:numPr>
        <w:tabs>
          <w:tab w:pos="749" w:val="left" w:leader="none"/>
          <w:tab w:pos="750" w:val="left" w:leader="none"/>
        </w:tabs>
        <w:spacing w:line="252" w:lineRule="exact" w:before="136" w:after="0"/>
        <w:ind w:left="749" w:right="0" w:hanging="357"/>
        <w:jc w:val="left"/>
        <w:rPr>
          <w:sz w:val="22"/>
        </w:rPr>
      </w:pPr>
      <w:r>
        <w:rPr>
          <w:w w:val="110"/>
          <w:sz w:val="22"/>
        </w:rPr>
        <w:t>finalise the Marker’s daily marking quotas </w:t>
      </w:r>
      <w:r>
        <w:rPr>
          <w:spacing w:val="-2"/>
          <w:w w:val="110"/>
          <w:sz w:val="22"/>
        </w:rPr>
        <w:t>and </w:t>
      </w:r>
      <w:r>
        <w:rPr>
          <w:w w:val="110"/>
          <w:sz w:val="22"/>
        </w:rPr>
        <w:t>cumulative totals on marking timeline.</w:t>
      </w:r>
      <w:r>
        <w:rPr>
          <w:spacing w:val="-38"/>
          <w:w w:val="110"/>
          <w:sz w:val="22"/>
        </w:rPr>
        <w:t> </w:t>
      </w:r>
      <w:r>
        <w:rPr>
          <w:w w:val="110"/>
          <w:sz w:val="22"/>
        </w:rPr>
        <w:t>See</w:t>
      </w:r>
    </w:p>
    <w:p>
      <w:pPr>
        <w:pStyle w:val="BodyText"/>
        <w:spacing w:line="252" w:lineRule="exact"/>
        <w:ind w:left="750"/>
      </w:pPr>
      <w:r>
        <w:rPr/>
        <w:t>Appendix A</w:t>
      </w:r>
    </w:p>
    <w:p>
      <w:pPr>
        <w:pStyle w:val="ListParagraph"/>
        <w:numPr>
          <w:ilvl w:val="0"/>
          <w:numId w:val="2"/>
        </w:numPr>
        <w:tabs>
          <w:tab w:pos="749" w:val="left" w:leader="none"/>
          <w:tab w:pos="750" w:val="left" w:leader="none"/>
        </w:tabs>
        <w:spacing w:line="240" w:lineRule="auto" w:before="138" w:after="0"/>
        <w:ind w:left="749" w:right="0" w:hanging="357"/>
        <w:jc w:val="left"/>
        <w:rPr>
          <w:sz w:val="22"/>
        </w:rPr>
      </w:pPr>
      <w:r>
        <w:rPr>
          <w:w w:val="110"/>
          <w:sz w:val="22"/>
        </w:rPr>
        <w:t>determine Check Marking Dispatch Dates on Appendix</w:t>
      </w:r>
      <w:r>
        <w:rPr>
          <w:spacing w:val="-5"/>
          <w:w w:val="110"/>
          <w:sz w:val="22"/>
        </w:rPr>
        <w:t> </w:t>
      </w:r>
      <w:r>
        <w:rPr>
          <w:w w:val="110"/>
          <w:sz w:val="22"/>
        </w:rPr>
        <w:t>A</w:t>
      </w:r>
    </w:p>
    <w:p>
      <w:pPr>
        <w:pStyle w:val="ListParagraph"/>
        <w:numPr>
          <w:ilvl w:val="0"/>
          <w:numId w:val="2"/>
        </w:numPr>
        <w:tabs>
          <w:tab w:pos="749" w:val="left" w:leader="none"/>
          <w:tab w:pos="750" w:val="left" w:leader="none"/>
        </w:tabs>
        <w:spacing w:line="240" w:lineRule="auto" w:before="134" w:after="0"/>
        <w:ind w:left="749" w:right="0" w:hanging="357"/>
        <w:jc w:val="left"/>
        <w:rPr>
          <w:sz w:val="22"/>
        </w:rPr>
      </w:pPr>
      <w:r>
        <w:rPr>
          <w:w w:val="110"/>
          <w:sz w:val="22"/>
        </w:rPr>
        <w:t>give a completed copy of Appendix A to the NAF at the benchmarking</w:t>
      </w:r>
      <w:r>
        <w:rPr>
          <w:spacing w:val="-30"/>
          <w:w w:val="110"/>
          <w:sz w:val="22"/>
        </w:rPr>
        <w:t> </w:t>
      </w:r>
      <w:r>
        <w:rPr>
          <w:w w:val="110"/>
          <w:sz w:val="22"/>
        </w:rPr>
        <w:t>meeting</w:t>
      </w:r>
    </w:p>
    <w:p>
      <w:pPr>
        <w:pStyle w:val="ListParagraph"/>
        <w:numPr>
          <w:ilvl w:val="0"/>
          <w:numId w:val="2"/>
        </w:numPr>
        <w:tabs>
          <w:tab w:pos="749" w:val="left" w:leader="none"/>
          <w:tab w:pos="750" w:val="left" w:leader="none"/>
        </w:tabs>
        <w:spacing w:line="240" w:lineRule="auto" w:before="135" w:after="0"/>
        <w:ind w:left="749" w:right="0" w:hanging="357"/>
        <w:jc w:val="left"/>
        <w:rPr>
          <w:sz w:val="22"/>
        </w:rPr>
      </w:pPr>
      <w:r>
        <w:rPr>
          <w:w w:val="110"/>
          <w:sz w:val="22"/>
        </w:rPr>
        <w:t>Provide each marker with a copy of this timeline at the Panel</w:t>
      </w:r>
      <w:r>
        <w:rPr>
          <w:spacing w:val="-4"/>
          <w:w w:val="110"/>
          <w:sz w:val="22"/>
        </w:rPr>
        <w:t> </w:t>
      </w:r>
      <w:r>
        <w:rPr>
          <w:w w:val="110"/>
          <w:sz w:val="22"/>
        </w:rPr>
        <w:t>Meeting.</w:t>
      </w:r>
    </w:p>
    <w:p>
      <w:pPr>
        <w:pStyle w:val="BodyText"/>
        <w:spacing w:before="9"/>
        <w:rPr>
          <w:sz w:val="28"/>
        </w:rPr>
      </w:pPr>
      <w:r>
        <w:rPr/>
        <w:pict>
          <v:shape style="position:absolute;margin-left:56.880001pt;margin-top:18.780531pt;width:481.45pt;height:25.2pt;mso-position-horizontal-relative:page;mso-position-vertical-relative:paragraph;z-index:-496;mso-wrap-distance-left:0;mso-wrap-distance-right:0" type="#_x0000_t202" filled="true" fillcolor="#ffbf00" stroked="true" strokeweight=".480011pt" strokecolor="#000000">
            <v:textbox inset="0,0,0,0">
              <w:txbxContent>
                <w:p>
                  <w:pPr>
                    <w:pStyle w:val="BodyText"/>
                    <w:spacing w:before="121"/>
                    <w:ind w:left="1315"/>
                  </w:pPr>
                  <w:r>
                    <w:rPr>
                      <w:w w:val="120"/>
                    </w:rPr>
                    <w:t>This year the final date for submitting results is 20 December 2019.</w:t>
                  </w:r>
                </w:p>
              </w:txbxContent>
            </v:textbox>
            <v:fill type="solid"/>
            <v:stroke dashstyle="solid"/>
            <w10:wrap type="topAndBottom"/>
          </v:shape>
        </w:pict>
      </w:r>
    </w:p>
    <w:p>
      <w:pPr>
        <w:pStyle w:val="BodyText"/>
        <w:spacing w:before="3"/>
        <w:rPr>
          <w:sz w:val="21"/>
        </w:rPr>
      </w:pPr>
    </w:p>
    <w:p>
      <w:pPr>
        <w:pStyle w:val="Heading3"/>
        <w:spacing w:before="88"/>
      </w:pPr>
      <w:bookmarkStart w:name="_TOC_250014" w:id="34"/>
      <w:bookmarkEnd w:id="34"/>
      <w:r>
        <w:rPr>
          <w:w w:val="115"/>
        </w:rPr>
        <w:t>Initial contact with markers</w:t>
      </w:r>
    </w:p>
    <w:p>
      <w:pPr>
        <w:pStyle w:val="BodyText"/>
        <w:spacing w:before="118"/>
        <w:ind w:left="392"/>
      </w:pPr>
      <w:r>
        <w:rPr>
          <w:w w:val="105"/>
        </w:rPr>
        <w:t>The panel leader will send a letter to all markers (including Check Markers) during October.</w:t>
      </w:r>
    </w:p>
    <w:p>
      <w:pPr>
        <w:pStyle w:val="BodyText"/>
      </w:pPr>
    </w:p>
    <w:p>
      <w:pPr>
        <w:pStyle w:val="BodyText"/>
        <w:ind w:left="392"/>
      </w:pPr>
      <w:r>
        <w:rPr>
          <w:w w:val="105"/>
        </w:rPr>
        <w:t>The letter will:</w:t>
      </w:r>
    </w:p>
    <w:p>
      <w:pPr>
        <w:pStyle w:val="ListParagraph"/>
        <w:numPr>
          <w:ilvl w:val="0"/>
          <w:numId w:val="2"/>
        </w:numPr>
        <w:tabs>
          <w:tab w:pos="749" w:val="left" w:leader="none"/>
          <w:tab w:pos="750" w:val="left" w:leader="none"/>
        </w:tabs>
        <w:spacing w:line="252" w:lineRule="exact" w:before="136" w:after="0"/>
        <w:ind w:left="749" w:right="0" w:hanging="357"/>
        <w:jc w:val="left"/>
        <w:rPr>
          <w:sz w:val="22"/>
        </w:rPr>
      </w:pPr>
      <w:r>
        <w:rPr>
          <w:w w:val="105"/>
          <w:sz w:val="22"/>
        </w:rPr>
        <w:t>emphasise that it is essential to attend all meetings, be on time and stay for the full</w:t>
      </w:r>
      <w:r>
        <w:rPr>
          <w:spacing w:val="19"/>
          <w:w w:val="105"/>
          <w:sz w:val="22"/>
        </w:rPr>
        <w:t> </w:t>
      </w:r>
      <w:r>
        <w:rPr>
          <w:w w:val="105"/>
          <w:sz w:val="22"/>
        </w:rPr>
        <w:t>duration.</w:t>
      </w:r>
    </w:p>
    <w:p>
      <w:pPr>
        <w:pStyle w:val="BodyText"/>
        <w:ind w:left="750" w:right="769"/>
      </w:pPr>
      <w:r>
        <w:rPr>
          <w:w w:val="110"/>
        </w:rPr>
        <w:t>This is </w:t>
      </w:r>
      <w:r>
        <w:rPr>
          <w:w w:val="110"/>
          <w:u w:val="thick"/>
        </w:rPr>
        <w:t>not</w:t>
      </w:r>
      <w:r>
        <w:rPr>
          <w:w w:val="110"/>
        </w:rPr>
        <w:t> negotiable (if a marker cannot attend, then another marker will need to be contracted to replace them)</w:t>
      </w:r>
    </w:p>
    <w:p>
      <w:pPr>
        <w:pStyle w:val="ListParagraph"/>
        <w:numPr>
          <w:ilvl w:val="0"/>
          <w:numId w:val="2"/>
        </w:numPr>
        <w:tabs>
          <w:tab w:pos="749" w:val="left" w:leader="none"/>
          <w:tab w:pos="750" w:val="left" w:leader="none"/>
        </w:tabs>
        <w:spacing w:line="240" w:lineRule="auto" w:before="137" w:after="0"/>
        <w:ind w:left="749" w:right="0" w:hanging="357"/>
        <w:jc w:val="left"/>
        <w:rPr>
          <w:sz w:val="22"/>
        </w:rPr>
      </w:pPr>
      <w:r>
        <w:rPr>
          <w:w w:val="110"/>
          <w:sz w:val="22"/>
        </w:rPr>
        <w:t>give dates, times and venue for the Panel Meeting(s) and travel arrangements, if</w:t>
      </w:r>
      <w:r>
        <w:rPr>
          <w:spacing w:val="30"/>
          <w:w w:val="110"/>
          <w:sz w:val="22"/>
        </w:rPr>
        <w:t> </w:t>
      </w:r>
      <w:r>
        <w:rPr>
          <w:w w:val="110"/>
          <w:sz w:val="22"/>
        </w:rPr>
        <w:t>required</w:t>
      </w:r>
    </w:p>
    <w:p>
      <w:pPr>
        <w:pStyle w:val="ListParagraph"/>
        <w:numPr>
          <w:ilvl w:val="0"/>
          <w:numId w:val="2"/>
        </w:numPr>
        <w:tabs>
          <w:tab w:pos="749" w:val="left" w:leader="none"/>
          <w:tab w:pos="750" w:val="left" w:leader="none"/>
        </w:tabs>
        <w:spacing w:line="240" w:lineRule="auto" w:before="133" w:after="0"/>
        <w:ind w:left="750" w:right="1443" w:hanging="358"/>
        <w:jc w:val="left"/>
        <w:rPr>
          <w:sz w:val="22"/>
        </w:rPr>
      </w:pPr>
      <w:r>
        <w:rPr>
          <w:w w:val="110"/>
          <w:sz w:val="22"/>
        </w:rPr>
        <w:t>include a list of materials that markers need to bring to the meetings, such as a laptop, achievement standards, specifications and red</w:t>
      </w:r>
      <w:r>
        <w:rPr>
          <w:spacing w:val="15"/>
          <w:w w:val="110"/>
          <w:sz w:val="22"/>
        </w:rPr>
        <w:t> </w:t>
      </w:r>
      <w:r>
        <w:rPr>
          <w:w w:val="110"/>
          <w:sz w:val="22"/>
        </w:rPr>
        <w:t>pens</w:t>
      </w:r>
    </w:p>
    <w:p>
      <w:pPr>
        <w:pStyle w:val="ListParagraph"/>
        <w:numPr>
          <w:ilvl w:val="0"/>
          <w:numId w:val="2"/>
        </w:numPr>
        <w:tabs>
          <w:tab w:pos="749" w:val="left" w:leader="none"/>
          <w:tab w:pos="750" w:val="left" w:leader="none"/>
        </w:tabs>
        <w:spacing w:line="240" w:lineRule="auto" w:before="135" w:after="0"/>
        <w:ind w:left="750" w:right="782" w:hanging="358"/>
        <w:jc w:val="left"/>
        <w:rPr>
          <w:sz w:val="22"/>
        </w:rPr>
      </w:pPr>
      <w:r>
        <w:rPr>
          <w:w w:val="105"/>
          <w:sz w:val="22"/>
        </w:rPr>
        <w:t>instruct markers to read the DVC Guide Notes and Instructions before the panel  meeting(s). They will be available under the “Forms for Markers” section when they log on to their marker home</w:t>
      </w:r>
      <w:r>
        <w:rPr>
          <w:spacing w:val="4"/>
          <w:w w:val="105"/>
          <w:sz w:val="22"/>
        </w:rPr>
        <w:t> </w:t>
      </w:r>
      <w:r>
        <w:rPr>
          <w:w w:val="105"/>
          <w:sz w:val="22"/>
        </w:rPr>
        <w:t>page.</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w w:val="110"/>
          <w:sz w:val="22"/>
        </w:rPr>
        <w:t>stress the concept of assessment through a ‘single pair of</w:t>
      </w:r>
      <w:r>
        <w:rPr>
          <w:spacing w:val="22"/>
          <w:w w:val="110"/>
          <w:sz w:val="22"/>
        </w:rPr>
        <w:t> </w:t>
      </w:r>
      <w:r>
        <w:rPr>
          <w:w w:val="110"/>
          <w:sz w:val="22"/>
        </w:rPr>
        <w:t>eyes’</w:t>
      </w:r>
    </w:p>
    <w:p>
      <w:pPr>
        <w:pStyle w:val="ListParagraph"/>
        <w:numPr>
          <w:ilvl w:val="0"/>
          <w:numId w:val="2"/>
        </w:numPr>
        <w:tabs>
          <w:tab w:pos="749" w:val="left" w:leader="none"/>
          <w:tab w:pos="750" w:val="left" w:leader="none"/>
        </w:tabs>
        <w:spacing w:line="240" w:lineRule="auto" w:before="134" w:after="0"/>
        <w:ind w:left="750" w:right="646" w:hanging="358"/>
        <w:jc w:val="left"/>
        <w:rPr>
          <w:sz w:val="22"/>
        </w:rPr>
      </w:pPr>
      <w:r>
        <w:rPr>
          <w:w w:val="110"/>
          <w:sz w:val="22"/>
        </w:rPr>
        <w:t>emphasise that all work associated with the submission is strictly confidential and that markers must ensure the security of all portfolios in their</w:t>
      </w:r>
      <w:r>
        <w:rPr>
          <w:spacing w:val="1"/>
          <w:w w:val="110"/>
          <w:sz w:val="22"/>
        </w:rPr>
        <w:t> </w:t>
      </w:r>
      <w:r>
        <w:rPr>
          <w:w w:val="110"/>
          <w:sz w:val="22"/>
        </w:rPr>
        <w:t>possession</w:t>
      </w:r>
    </w:p>
    <w:p>
      <w:pPr>
        <w:pStyle w:val="ListParagraph"/>
        <w:numPr>
          <w:ilvl w:val="0"/>
          <w:numId w:val="2"/>
        </w:numPr>
        <w:tabs>
          <w:tab w:pos="749" w:val="left" w:leader="none"/>
          <w:tab w:pos="750" w:val="left" w:leader="none"/>
        </w:tabs>
        <w:spacing w:line="240" w:lineRule="auto" w:before="134" w:after="0"/>
        <w:ind w:left="749" w:right="0" w:hanging="357"/>
        <w:jc w:val="left"/>
        <w:rPr>
          <w:sz w:val="22"/>
        </w:rPr>
      </w:pPr>
      <w:r>
        <w:rPr>
          <w:w w:val="115"/>
          <w:sz w:val="22"/>
        </w:rPr>
        <w:t>give</w:t>
      </w:r>
      <w:r>
        <w:rPr>
          <w:spacing w:val="-9"/>
          <w:w w:val="115"/>
          <w:sz w:val="22"/>
        </w:rPr>
        <w:t> </w:t>
      </w:r>
      <w:r>
        <w:rPr>
          <w:w w:val="115"/>
          <w:sz w:val="22"/>
        </w:rPr>
        <w:t>important</w:t>
      </w:r>
      <w:r>
        <w:rPr>
          <w:spacing w:val="-11"/>
          <w:w w:val="115"/>
          <w:sz w:val="22"/>
        </w:rPr>
        <w:t> </w:t>
      </w:r>
      <w:r>
        <w:rPr>
          <w:w w:val="115"/>
          <w:sz w:val="22"/>
        </w:rPr>
        <w:t>deadlines,</w:t>
      </w:r>
      <w:r>
        <w:rPr>
          <w:spacing w:val="-8"/>
          <w:w w:val="115"/>
          <w:sz w:val="22"/>
        </w:rPr>
        <w:t> </w:t>
      </w:r>
      <w:r>
        <w:rPr>
          <w:w w:val="115"/>
          <w:sz w:val="22"/>
        </w:rPr>
        <w:t>such</w:t>
      </w:r>
      <w:r>
        <w:rPr>
          <w:spacing w:val="-9"/>
          <w:w w:val="115"/>
          <w:sz w:val="22"/>
        </w:rPr>
        <w:t> </w:t>
      </w:r>
      <w:r>
        <w:rPr>
          <w:w w:val="115"/>
          <w:sz w:val="22"/>
        </w:rPr>
        <w:t>as</w:t>
      </w:r>
      <w:r>
        <w:rPr>
          <w:spacing w:val="-11"/>
          <w:w w:val="115"/>
          <w:sz w:val="22"/>
        </w:rPr>
        <w:t> </w:t>
      </w:r>
      <w:r>
        <w:rPr>
          <w:w w:val="115"/>
          <w:sz w:val="22"/>
        </w:rPr>
        <w:t>the</w:t>
      </w:r>
      <w:r>
        <w:rPr>
          <w:spacing w:val="-8"/>
          <w:w w:val="115"/>
          <w:sz w:val="22"/>
        </w:rPr>
        <w:t> </w:t>
      </w:r>
      <w:r>
        <w:rPr>
          <w:w w:val="115"/>
          <w:sz w:val="22"/>
        </w:rPr>
        <w:t>dates</w:t>
      </w:r>
      <w:r>
        <w:rPr>
          <w:spacing w:val="-11"/>
          <w:w w:val="115"/>
          <w:sz w:val="22"/>
        </w:rPr>
        <w:t> </w:t>
      </w:r>
      <w:r>
        <w:rPr>
          <w:w w:val="115"/>
          <w:sz w:val="22"/>
        </w:rPr>
        <w:t>that</w:t>
      </w:r>
      <w:r>
        <w:rPr>
          <w:spacing w:val="-8"/>
          <w:w w:val="115"/>
          <w:sz w:val="22"/>
        </w:rPr>
        <w:t> </w:t>
      </w:r>
      <w:r>
        <w:rPr>
          <w:w w:val="115"/>
          <w:sz w:val="22"/>
        </w:rPr>
        <w:t>the</w:t>
      </w:r>
      <w:r>
        <w:rPr>
          <w:spacing w:val="-9"/>
          <w:w w:val="115"/>
          <w:sz w:val="22"/>
        </w:rPr>
        <w:t> </w:t>
      </w:r>
      <w:r>
        <w:rPr>
          <w:w w:val="115"/>
          <w:sz w:val="22"/>
        </w:rPr>
        <w:t>check</w:t>
      </w:r>
      <w:r>
        <w:rPr>
          <w:spacing w:val="-9"/>
          <w:w w:val="115"/>
          <w:sz w:val="22"/>
        </w:rPr>
        <w:t> </w:t>
      </w:r>
      <w:r>
        <w:rPr>
          <w:w w:val="115"/>
          <w:sz w:val="22"/>
        </w:rPr>
        <w:t>marking</w:t>
      </w:r>
      <w:r>
        <w:rPr>
          <w:spacing w:val="-6"/>
          <w:w w:val="115"/>
          <w:sz w:val="22"/>
        </w:rPr>
        <w:t> </w:t>
      </w:r>
      <w:r>
        <w:rPr>
          <w:w w:val="115"/>
          <w:sz w:val="22"/>
        </w:rPr>
        <w:t>should</w:t>
      </w:r>
      <w:r>
        <w:rPr>
          <w:spacing w:val="-12"/>
          <w:w w:val="115"/>
          <w:sz w:val="22"/>
        </w:rPr>
        <w:t> </w:t>
      </w:r>
      <w:r>
        <w:rPr>
          <w:w w:val="115"/>
          <w:sz w:val="22"/>
        </w:rPr>
        <w:t>be</w:t>
      </w:r>
      <w:r>
        <w:rPr>
          <w:spacing w:val="-11"/>
          <w:w w:val="115"/>
          <w:sz w:val="22"/>
        </w:rPr>
        <w:t> </w:t>
      </w:r>
      <w:r>
        <w:rPr>
          <w:w w:val="115"/>
          <w:sz w:val="22"/>
        </w:rPr>
        <w:t>received.</w:t>
      </w:r>
    </w:p>
    <w:p>
      <w:pPr>
        <w:pStyle w:val="BodyText"/>
        <w:spacing w:before="10"/>
        <w:rPr>
          <w:sz w:val="21"/>
        </w:rPr>
      </w:pPr>
    </w:p>
    <w:p>
      <w:pPr>
        <w:pStyle w:val="BodyText"/>
        <w:ind w:left="392" w:right="674"/>
      </w:pPr>
      <w:r>
        <w:rPr>
          <w:w w:val="110"/>
        </w:rPr>
        <w:t>The</w:t>
      </w:r>
      <w:r>
        <w:rPr>
          <w:spacing w:val="-8"/>
          <w:w w:val="110"/>
        </w:rPr>
        <w:t> </w:t>
      </w:r>
      <w:r>
        <w:rPr>
          <w:w w:val="110"/>
        </w:rPr>
        <w:t>Senior</w:t>
      </w:r>
      <w:r>
        <w:rPr>
          <w:spacing w:val="-5"/>
          <w:w w:val="110"/>
        </w:rPr>
        <w:t> </w:t>
      </w:r>
      <w:r>
        <w:rPr>
          <w:w w:val="110"/>
        </w:rPr>
        <w:t>Business</w:t>
      </w:r>
      <w:r>
        <w:rPr>
          <w:spacing w:val="-8"/>
          <w:w w:val="110"/>
        </w:rPr>
        <w:t> </w:t>
      </w:r>
      <w:r>
        <w:rPr>
          <w:w w:val="110"/>
        </w:rPr>
        <w:t>Liaison</w:t>
      </w:r>
      <w:r>
        <w:rPr>
          <w:spacing w:val="-6"/>
          <w:w w:val="110"/>
        </w:rPr>
        <w:t> </w:t>
      </w:r>
      <w:r>
        <w:rPr>
          <w:w w:val="110"/>
        </w:rPr>
        <w:t>Officer</w:t>
      </w:r>
      <w:r>
        <w:rPr>
          <w:spacing w:val="-7"/>
          <w:w w:val="110"/>
        </w:rPr>
        <w:t> </w:t>
      </w:r>
      <w:r>
        <w:rPr>
          <w:w w:val="110"/>
        </w:rPr>
        <w:t>will</w:t>
      </w:r>
      <w:r>
        <w:rPr>
          <w:spacing w:val="-8"/>
          <w:w w:val="110"/>
        </w:rPr>
        <w:t> </w:t>
      </w:r>
      <w:r>
        <w:rPr>
          <w:w w:val="110"/>
        </w:rPr>
        <w:t>send</w:t>
      </w:r>
      <w:r>
        <w:rPr>
          <w:spacing w:val="-7"/>
          <w:w w:val="110"/>
        </w:rPr>
        <w:t> </w:t>
      </w:r>
      <w:r>
        <w:rPr>
          <w:w w:val="110"/>
        </w:rPr>
        <w:t>out</w:t>
      </w:r>
      <w:r>
        <w:rPr>
          <w:spacing w:val="-6"/>
          <w:w w:val="110"/>
        </w:rPr>
        <w:t> </w:t>
      </w:r>
      <w:r>
        <w:rPr>
          <w:w w:val="110"/>
        </w:rPr>
        <w:t>a</w:t>
      </w:r>
      <w:r>
        <w:rPr>
          <w:spacing w:val="-7"/>
          <w:w w:val="110"/>
        </w:rPr>
        <w:t> </w:t>
      </w:r>
      <w:r>
        <w:rPr>
          <w:w w:val="110"/>
        </w:rPr>
        <w:t>further</w:t>
      </w:r>
      <w:r>
        <w:rPr>
          <w:spacing w:val="-6"/>
          <w:w w:val="110"/>
        </w:rPr>
        <w:t> </w:t>
      </w:r>
      <w:r>
        <w:rPr>
          <w:w w:val="110"/>
        </w:rPr>
        <w:t>letter</w:t>
      </w:r>
      <w:r>
        <w:rPr>
          <w:spacing w:val="-7"/>
          <w:w w:val="110"/>
        </w:rPr>
        <w:t> </w:t>
      </w:r>
      <w:r>
        <w:rPr>
          <w:w w:val="110"/>
        </w:rPr>
        <w:t>to</w:t>
      </w:r>
      <w:r>
        <w:rPr>
          <w:spacing w:val="-9"/>
          <w:w w:val="110"/>
        </w:rPr>
        <w:t> </w:t>
      </w:r>
      <w:r>
        <w:rPr>
          <w:w w:val="110"/>
        </w:rPr>
        <w:t>those</w:t>
      </w:r>
      <w:r>
        <w:rPr>
          <w:spacing w:val="-7"/>
          <w:w w:val="110"/>
        </w:rPr>
        <w:t> </w:t>
      </w:r>
      <w:r>
        <w:rPr>
          <w:w w:val="110"/>
        </w:rPr>
        <w:t>who</w:t>
      </w:r>
      <w:r>
        <w:rPr>
          <w:spacing w:val="-6"/>
          <w:w w:val="110"/>
        </w:rPr>
        <w:t> </w:t>
      </w:r>
      <w:r>
        <w:rPr>
          <w:w w:val="110"/>
        </w:rPr>
        <w:t>are</w:t>
      </w:r>
      <w:r>
        <w:rPr>
          <w:spacing w:val="-7"/>
          <w:w w:val="110"/>
        </w:rPr>
        <w:t> </w:t>
      </w:r>
      <w:r>
        <w:rPr>
          <w:w w:val="110"/>
        </w:rPr>
        <w:t>travelling</w:t>
      </w:r>
      <w:r>
        <w:rPr>
          <w:spacing w:val="-4"/>
          <w:w w:val="110"/>
        </w:rPr>
        <w:t> </w:t>
      </w:r>
      <w:r>
        <w:rPr>
          <w:w w:val="110"/>
        </w:rPr>
        <w:t>to</w:t>
      </w:r>
      <w:r>
        <w:rPr>
          <w:spacing w:val="-6"/>
          <w:w w:val="110"/>
        </w:rPr>
        <w:t> </w:t>
      </w:r>
      <w:r>
        <w:rPr>
          <w:w w:val="110"/>
        </w:rPr>
        <w:t>the meeting venue from outside the</w:t>
      </w:r>
      <w:r>
        <w:rPr>
          <w:spacing w:val="4"/>
          <w:w w:val="110"/>
        </w:rPr>
        <w:t> </w:t>
      </w:r>
      <w:r>
        <w:rPr>
          <w:w w:val="110"/>
        </w:rPr>
        <w:t>region.</w:t>
      </w:r>
    </w:p>
    <w:p>
      <w:pPr>
        <w:spacing w:after="0"/>
        <w:sectPr>
          <w:footerReference w:type="default" r:id="rId34"/>
          <w:pgSz w:w="11910" w:h="16840"/>
          <w:pgMar w:footer="297" w:header="0" w:top="760" w:bottom="480" w:left="740" w:right="580"/>
          <w:pgNumType w:start="28"/>
        </w:sectPr>
      </w:pPr>
    </w:p>
    <w:p>
      <w:pPr>
        <w:pStyle w:val="Heading3"/>
        <w:spacing w:before="75"/>
      </w:pPr>
      <w:bookmarkStart w:name="_TOC_250013" w:id="35"/>
      <w:bookmarkEnd w:id="35"/>
      <w:r>
        <w:rPr>
          <w:w w:val="115"/>
        </w:rPr>
        <w:t>Benchmarking Meeting</w:t>
      </w:r>
    </w:p>
    <w:p>
      <w:pPr>
        <w:pStyle w:val="BodyText"/>
        <w:spacing w:before="118"/>
        <w:ind w:left="392"/>
      </w:pPr>
      <w:r>
        <w:rPr>
          <w:w w:val="110"/>
        </w:rPr>
        <w:t>Prior to this meeting, familiarise yourself with the assessment schedule for 2019.</w:t>
      </w:r>
    </w:p>
    <w:p>
      <w:pPr>
        <w:pStyle w:val="BodyText"/>
        <w:spacing w:before="121"/>
        <w:ind w:left="392"/>
      </w:pPr>
      <w:r>
        <w:rPr>
          <w:w w:val="120"/>
        </w:rPr>
        <w:t>Clear marking standards must be set at the Benchmarking Meeting.</w:t>
      </w:r>
    </w:p>
    <w:p>
      <w:pPr>
        <w:pStyle w:val="BodyText"/>
        <w:spacing w:before="119"/>
        <w:ind w:left="392" w:right="769"/>
      </w:pPr>
      <w:r>
        <w:rPr>
          <w:w w:val="115"/>
        </w:rPr>
        <w:t>If required, additional subject specific instructions and/or marking conventions will be finalised at this meeting.</w:t>
      </w:r>
    </w:p>
    <w:p>
      <w:pPr>
        <w:pStyle w:val="BodyText"/>
        <w:spacing w:before="11"/>
        <w:rPr>
          <w:sz w:val="20"/>
        </w:rPr>
      </w:pPr>
    </w:p>
    <w:p>
      <w:pPr>
        <w:pStyle w:val="BodyText"/>
        <w:ind w:left="392"/>
      </w:pPr>
      <w:r>
        <w:rPr>
          <w:w w:val="120"/>
        </w:rPr>
        <w:t>Attendance</w:t>
      </w:r>
    </w:p>
    <w:p>
      <w:pPr>
        <w:pStyle w:val="BodyText"/>
        <w:spacing w:before="59"/>
        <w:ind w:left="392" w:right="674"/>
      </w:pPr>
      <w:r>
        <w:rPr>
          <w:w w:val="110"/>
        </w:rPr>
        <w:t>The attendees at the NCEA DVC Benchmarking Meetings will be the panel leader and the senior marker.</w:t>
      </w:r>
    </w:p>
    <w:p>
      <w:pPr>
        <w:pStyle w:val="BodyText"/>
        <w:spacing w:before="2"/>
        <w:rPr>
          <w:sz w:val="27"/>
        </w:rPr>
      </w:pPr>
    </w:p>
    <w:p>
      <w:pPr>
        <w:pStyle w:val="BodyText"/>
        <w:ind w:left="392"/>
      </w:pPr>
      <w:r>
        <w:rPr>
          <w:w w:val="120"/>
        </w:rPr>
        <w:t>The aim of this meeting time is to:</w:t>
      </w:r>
    </w:p>
    <w:p>
      <w:pPr>
        <w:pStyle w:val="ListParagraph"/>
        <w:numPr>
          <w:ilvl w:val="0"/>
          <w:numId w:val="2"/>
        </w:numPr>
        <w:tabs>
          <w:tab w:pos="749" w:val="left" w:leader="none"/>
          <w:tab w:pos="750" w:val="left" w:leader="none"/>
        </w:tabs>
        <w:spacing w:line="240" w:lineRule="auto" w:before="138" w:after="0"/>
        <w:ind w:left="749" w:right="0" w:hanging="357"/>
        <w:jc w:val="left"/>
        <w:rPr>
          <w:sz w:val="22"/>
        </w:rPr>
      </w:pPr>
      <w:r>
        <w:rPr>
          <w:w w:val="110"/>
          <w:sz w:val="22"/>
        </w:rPr>
        <w:t>verify standards to confirm the assessment</w:t>
      </w:r>
      <w:r>
        <w:rPr>
          <w:spacing w:val="3"/>
          <w:w w:val="110"/>
          <w:sz w:val="22"/>
        </w:rPr>
        <w:t> </w:t>
      </w:r>
      <w:r>
        <w:rPr>
          <w:w w:val="110"/>
          <w:sz w:val="22"/>
        </w:rPr>
        <w:t>schedules</w:t>
      </w:r>
    </w:p>
    <w:p>
      <w:pPr>
        <w:pStyle w:val="ListParagraph"/>
        <w:numPr>
          <w:ilvl w:val="0"/>
          <w:numId w:val="2"/>
        </w:numPr>
        <w:tabs>
          <w:tab w:pos="749" w:val="left" w:leader="none"/>
          <w:tab w:pos="750" w:val="left" w:leader="none"/>
        </w:tabs>
        <w:spacing w:line="240" w:lineRule="auto" w:before="133" w:after="0"/>
        <w:ind w:left="750" w:right="1710" w:hanging="358"/>
        <w:jc w:val="left"/>
        <w:rPr>
          <w:sz w:val="22"/>
        </w:rPr>
      </w:pPr>
      <w:r>
        <w:rPr>
          <w:w w:val="110"/>
          <w:sz w:val="22"/>
        </w:rPr>
        <w:t>select and photocopy portfolios and selected drawings from portfolios to be used as benchmarks</w:t>
      </w:r>
    </w:p>
    <w:p>
      <w:pPr>
        <w:pStyle w:val="ListParagraph"/>
        <w:numPr>
          <w:ilvl w:val="0"/>
          <w:numId w:val="2"/>
        </w:numPr>
        <w:tabs>
          <w:tab w:pos="749" w:val="left" w:leader="none"/>
          <w:tab w:pos="750" w:val="left" w:leader="none"/>
        </w:tabs>
        <w:spacing w:line="240" w:lineRule="auto" w:before="135" w:after="0"/>
        <w:ind w:left="749" w:right="0" w:hanging="357"/>
        <w:jc w:val="left"/>
        <w:rPr>
          <w:sz w:val="22"/>
        </w:rPr>
      </w:pPr>
      <w:r>
        <w:rPr>
          <w:w w:val="110"/>
          <w:sz w:val="22"/>
        </w:rPr>
        <w:t>establish marking</w:t>
      </w:r>
      <w:r>
        <w:rPr>
          <w:spacing w:val="7"/>
          <w:w w:val="110"/>
          <w:sz w:val="22"/>
        </w:rPr>
        <w:t> </w:t>
      </w:r>
      <w:r>
        <w:rPr>
          <w:w w:val="110"/>
          <w:sz w:val="22"/>
        </w:rPr>
        <w:t>benchmarks</w:t>
      </w:r>
    </w:p>
    <w:p>
      <w:pPr>
        <w:pStyle w:val="ListParagraph"/>
        <w:numPr>
          <w:ilvl w:val="0"/>
          <w:numId w:val="2"/>
        </w:numPr>
        <w:tabs>
          <w:tab w:pos="749" w:val="left" w:leader="none"/>
          <w:tab w:pos="750" w:val="left" w:leader="none"/>
        </w:tabs>
        <w:spacing w:line="240" w:lineRule="auto" w:before="136" w:after="0"/>
        <w:ind w:left="750" w:right="719" w:hanging="358"/>
        <w:jc w:val="left"/>
        <w:rPr>
          <w:sz w:val="22"/>
        </w:rPr>
      </w:pPr>
      <w:r>
        <w:rPr>
          <w:w w:val="110"/>
          <w:sz w:val="22"/>
        </w:rPr>
        <w:t>write notes of explanation on benchmarks to ensure the same interpretation and application is explained to all</w:t>
      </w:r>
      <w:r>
        <w:rPr>
          <w:spacing w:val="-3"/>
          <w:w w:val="110"/>
          <w:sz w:val="22"/>
        </w:rPr>
        <w:t> </w:t>
      </w:r>
      <w:r>
        <w:rPr>
          <w:w w:val="110"/>
          <w:sz w:val="22"/>
        </w:rPr>
        <w:t>markers</w:t>
      </w:r>
    </w:p>
    <w:p>
      <w:pPr>
        <w:pStyle w:val="ListParagraph"/>
        <w:numPr>
          <w:ilvl w:val="0"/>
          <w:numId w:val="2"/>
        </w:numPr>
        <w:tabs>
          <w:tab w:pos="749" w:val="left" w:leader="none"/>
          <w:tab w:pos="750" w:val="left" w:leader="none"/>
        </w:tabs>
        <w:spacing w:line="240" w:lineRule="auto" w:before="135" w:after="0"/>
        <w:ind w:left="749" w:right="0" w:hanging="357"/>
        <w:jc w:val="left"/>
        <w:rPr>
          <w:sz w:val="22"/>
        </w:rPr>
      </w:pPr>
      <w:r>
        <w:rPr>
          <w:w w:val="110"/>
          <w:sz w:val="22"/>
        </w:rPr>
        <w:t>finalise Panel Meeting procedures and</w:t>
      </w:r>
      <w:r>
        <w:rPr>
          <w:spacing w:val="9"/>
          <w:w w:val="110"/>
          <w:sz w:val="22"/>
        </w:rPr>
        <w:t> </w:t>
      </w:r>
      <w:r>
        <w:rPr>
          <w:w w:val="110"/>
          <w:sz w:val="22"/>
        </w:rPr>
        <w:t>agendas</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w w:val="105"/>
          <w:sz w:val="22"/>
        </w:rPr>
        <w:t>confirm procedures and timelines for marking and check</w:t>
      </w:r>
      <w:r>
        <w:rPr>
          <w:spacing w:val="47"/>
          <w:w w:val="105"/>
          <w:sz w:val="22"/>
        </w:rPr>
        <w:t> </w:t>
      </w:r>
      <w:r>
        <w:rPr>
          <w:w w:val="105"/>
          <w:sz w:val="22"/>
        </w:rPr>
        <w:t>marking.</w:t>
      </w:r>
    </w:p>
    <w:p>
      <w:pPr>
        <w:pStyle w:val="BodyText"/>
        <w:spacing w:before="6"/>
        <w:rPr>
          <w:sz w:val="20"/>
        </w:rPr>
      </w:pPr>
    </w:p>
    <w:p>
      <w:pPr>
        <w:pStyle w:val="BodyText"/>
        <w:ind w:left="392" w:right="1569"/>
      </w:pPr>
      <w:r>
        <w:rPr>
          <w:w w:val="110"/>
        </w:rPr>
        <w:t>Unless otherwise arranged, the panel leader will be sent guinea pig portfolios prior to the benchmarking meeting.</w:t>
      </w:r>
    </w:p>
    <w:p>
      <w:pPr>
        <w:pStyle w:val="BodyText"/>
        <w:spacing w:before="5"/>
        <w:rPr>
          <w:sz w:val="31"/>
        </w:rPr>
      </w:pPr>
    </w:p>
    <w:p>
      <w:pPr>
        <w:pStyle w:val="Heading3"/>
      </w:pPr>
      <w:bookmarkStart w:name="_TOC_250012" w:id="36"/>
      <w:bookmarkEnd w:id="36"/>
      <w:r>
        <w:rPr>
          <w:w w:val="120"/>
        </w:rPr>
        <w:t>Bench marked Portfolios</w:t>
      </w:r>
    </w:p>
    <w:p>
      <w:pPr>
        <w:pStyle w:val="BodyText"/>
        <w:spacing w:line="352" w:lineRule="auto" w:before="120"/>
        <w:ind w:left="392" w:right="4464"/>
      </w:pPr>
      <w:r>
        <w:rPr>
          <w:w w:val="120"/>
        </w:rPr>
        <w:t>Bench</w:t>
      </w:r>
      <w:r>
        <w:rPr>
          <w:spacing w:val="-18"/>
          <w:w w:val="120"/>
        </w:rPr>
        <w:t> </w:t>
      </w:r>
      <w:r>
        <w:rPr>
          <w:w w:val="120"/>
        </w:rPr>
        <w:t>marked</w:t>
      </w:r>
      <w:r>
        <w:rPr>
          <w:spacing w:val="-18"/>
          <w:w w:val="120"/>
        </w:rPr>
        <w:t> </w:t>
      </w:r>
      <w:r>
        <w:rPr>
          <w:w w:val="120"/>
        </w:rPr>
        <w:t>portfolio</w:t>
      </w:r>
      <w:r>
        <w:rPr>
          <w:spacing w:val="-18"/>
          <w:w w:val="120"/>
        </w:rPr>
        <w:t> </w:t>
      </w:r>
      <w:r>
        <w:rPr>
          <w:w w:val="120"/>
        </w:rPr>
        <w:t>(BM)</w:t>
      </w:r>
      <w:r>
        <w:rPr>
          <w:spacing w:val="-17"/>
          <w:w w:val="120"/>
        </w:rPr>
        <w:t> </w:t>
      </w:r>
      <w:r>
        <w:rPr>
          <w:w w:val="120"/>
        </w:rPr>
        <w:t>selection</w:t>
      </w:r>
      <w:r>
        <w:rPr>
          <w:spacing w:val="-20"/>
          <w:w w:val="120"/>
        </w:rPr>
        <w:t> </w:t>
      </w:r>
      <w:r>
        <w:rPr>
          <w:w w:val="120"/>
        </w:rPr>
        <w:t>and</w:t>
      </w:r>
      <w:r>
        <w:rPr>
          <w:spacing w:val="-17"/>
          <w:w w:val="120"/>
        </w:rPr>
        <w:t> </w:t>
      </w:r>
      <w:r>
        <w:rPr>
          <w:w w:val="120"/>
        </w:rPr>
        <w:t>processing You</w:t>
      </w:r>
      <w:r>
        <w:rPr>
          <w:spacing w:val="-6"/>
          <w:w w:val="120"/>
        </w:rPr>
        <w:t> </w:t>
      </w:r>
      <w:r>
        <w:rPr>
          <w:w w:val="120"/>
        </w:rPr>
        <w:t>should:</w:t>
      </w:r>
    </w:p>
    <w:p>
      <w:pPr>
        <w:pStyle w:val="ListParagraph"/>
        <w:numPr>
          <w:ilvl w:val="0"/>
          <w:numId w:val="2"/>
        </w:numPr>
        <w:tabs>
          <w:tab w:pos="749" w:val="left" w:leader="none"/>
          <w:tab w:pos="750" w:val="left" w:leader="none"/>
        </w:tabs>
        <w:spacing w:line="210" w:lineRule="exact" w:before="0" w:after="0"/>
        <w:ind w:left="749" w:right="0" w:hanging="357"/>
        <w:jc w:val="left"/>
        <w:rPr>
          <w:sz w:val="22"/>
        </w:rPr>
      </w:pPr>
      <w:r>
        <w:rPr>
          <w:sz w:val="22"/>
        </w:rPr>
        <w:t>select portfolios which will copy</w:t>
      </w:r>
      <w:r>
        <w:rPr>
          <w:spacing w:val="39"/>
          <w:sz w:val="22"/>
        </w:rPr>
        <w:t> </w:t>
      </w:r>
      <w:r>
        <w:rPr>
          <w:sz w:val="22"/>
        </w:rPr>
        <w:t>well</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w w:val="105"/>
          <w:sz w:val="22"/>
        </w:rPr>
        <w:t>NOT write on ANY original candidate</w:t>
      </w:r>
      <w:r>
        <w:rPr>
          <w:spacing w:val="20"/>
          <w:w w:val="105"/>
          <w:sz w:val="22"/>
        </w:rPr>
        <w:t> </w:t>
      </w:r>
      <w:r>
        <w:rPr>
          <w:w w:val="105"/>
          <w:sz w:val="22"/>
        </w:rPr>
        <w:t>portfolios</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w w:val="105"/>
          <w:sz w:val="22"/>
        </w:rPr>
        <w:t>NOT remove any material from</w:t>
      </w:r>
      <w:r>
        <w:rPr>
          <w:spacing w:val="16"/>
          <w:w w:val="105"/>
          <w:sz w:val="22"/>
        </w:rPr>
        <w:t> </w:t>
      </w:r>
      <w:r>
        <w:rPr>
          <w:w w:val="105"/>
          <w:sz w:val="22"/>
        </w:rPr>
        <w:t>portfolios.</w:t>
      </w:r>
    </w:p>
    <w:p>
      <w:pPr>
        <w:pStyle w:val="BodyText"/>
        <w:spacing w:before="7"/>
        <w:rPr>
          <w:sz w:val="20"/>
        </w:rPr>
      </w:pPr>
    </w:p>
    <w:p>
      <w:pPr>
        <w:pStyle w:val="BodyText"/>
        <w:ind w:left="392"/>
      </w:pPr>
      <w:r>
        <w:rPr>
          <w:w w:val="120"/>
        </w:rPr>
        <w:t>Follow this procedure for ALL externally assessed standards:</w:t>
      </w:r>
    </w:p>
    <w:p>
      <w:pPr>
        <w:pStyle w:val="BodyText"/>
        <w:spacing w:before="61"/>
        <w:ind w:left="392" w:right="910"/>
      </w:pPr>
      <w:r>
        <w:rPr>
          <w:w w:val="105"/>
        </w:rPr>
        <w:t>NOTE:   It is preferable for this material to be scanned and given out to each marker electronically   by either providing them with a USB for them to download onto their computer, or providing each marker with a USB containing all the benchmark</w:t>
      </w:r>
      <w:r>
        <w:rPr>
          <w:spacing w:val="36"/>
          <w:w w:val="105"/>
        </w:rPr>
        <w:t> </w:t>
      </w:r>
      <w:r>
        <w:rPr>
          <w:w w:val="105"/>
        </w:rPr>
        <w:t>material.</w:t>
      </w:r>
    </w:p>
    <w:p>
      <w:pPr>
        <w:pStyle w:val="ListParagraph"/>
        <w:numPr>
          <w:ilvl w:val="0"/>
          <w:numId w:val="7"/>
        </w:numPr>
        <w:tabs>
          <w:tab w:pos="750" w:val="left" w:leader="none"/>
          <w:tab w:pos="751" w:val="left" w:leader="none"/>
        </w:tabs>
        <w:spacing w:line="240" w:lineRule="auto" w:before="120" w:after="0"/>
        <w:ind w:left="750" w:right="0" w:hanging="358"/>
        <w:jc w:val="left"/>
        <w:rPr>
          <w:sz w:val="22"/>
        </w:rPr>
      </w:pPr>
      <w:r>
        <w:rPr>
          <w:sz w:val="22"/>
        </w:rPr>
        <w:t>Sort</w:t>
      </w:r>
      <w:r>
        <w:rPr>
          <w:spacing w:val="9"/>
          <w:sz w:val="22"/>
        </w:rPr>
        <w:t> </w:t>
      </w:r>
      <w:r>
        <w:rPr>
          <w:sz w:val="22"/>
        </w:rPr>
        <w:t>(overall/holistic</w:t>
      </w:r>
      <w:r>
        <w:rPr>
          <w:spacing w:val="16"/>
          <w:sz w:val="22"/>
        </w:rPr>
        <w:t> </w:t>
      </w:r>
      <w:r>
        <w:rPr>
          <w:sz w:val="22"/>
        </w:rPr>
        <w:t>reaction)</w:t>
      </w:r>
      <w:r>
        <w:rPr>
          <w:spacing w:val="12"/>
          <w:sz w:val="22"/>
        </w:rPr>
        <w:t> </w:t>
      </w:r>
      <w:r>
        <w:rPr>
          <w:sz w:val="22"/>
        </w:rPr>
        <w:t>the</w:t>
      </w:r>
      <w:r>
        <w:rPr>
          <w:spacing w:val="13"/>
          <w:sz w:val="22"/>
        </w:rPr>
        <w:t> </w:t>
      </w:r>
      <w:r>
        <w:rPr>
          <w:sz w:val="22"/>
        </w:rPr>
        <w:t>portfolios</w:t>
      </w:r>
      <w:r>
        <w:rPr>
          <w:spacing w:val="12"/>
          <w:sz w:val="22"/>
        </w:rPr>
        <w:t> </w:t>
      </w:r>
      <w:r>
        <w:rPr>
          <w:sz w:val="22"/>
        </w:rPr>
        <w:t>into</w:t>
      </w:r>
      <w:r>
        <w:rPr>
          <w:spacing w:val="6"/>
          <w:sz w:val="22"/>
        </w:rPr>
        <w:t> </w:t>
      </w:r>
      <w:r>
        <w:rPr>
          <w:sz w:val="22"/>
        </w:rPr>
        <w:t>four</w:t>
      </w:r>
      <w:r>
        <w:rPr>
          <w:spacing w:val="13"/>
          <w:sz w:val="22"/>
        </w:rPr>
        <w:t> </w:t>
      </w:r>
      <w:r>
        <w:rPr>
          <w:sz w:val="22"/>
        </w:rPr>
        <w:t>piles</w:t>
      </w:r>
      <w:r>
        <w:rPr>
          <w:spacing w:val="10"/>
          <w:sz w:val="22"/>
        </w:rPr>
        <w:t> </w:t>
      </w:r>
      <w:r>
        <w:rPr>
          <w:sz w:val="22"/>
        </w:rPr>
        <w:t>for</w:t>
      </w:r>
      <w:r>
        <w:rPr>
          <w:spacing w:val="12"/>
          <w:sz w:val="22"/>
        </w:rPr>
        <w:t> </w:t>
      </w:r>
      <w:r>
        <w:rPr>
          <w:sz w:val="22"/>
        </w:rPr>
        <w:t>NCEA</w:t>
      </w:r>
      <w:r>
        <w:rPr>
          <w:spacing w:val="12"/>
          <w:sz w:val="22"/>
        </w:rPr>
        <w:t> </w:t>
      </w:r>
      <w:r>
        <w:rPr>
          <w:sz w:val="22"/>
        </w:rPr>
        <w:t>(N</w:t>
      </w:r>
      <w:r>
        <w:rPr>
          <w:spacing w:val="12"/>
          <w:sz w:val="22"/>
        </w:rPr>
        <w:t> </w:t>
      </w:r>
      <w:r>
        <w:rPr>
          <w:sz w:val="22"/>
        </w:rPr>
        <w:t>A</w:t>
      </w:r>
      <w:r>
        <w:rPr>
          <w:spacing w:val="11"/>
          <w:sz w:val="22"/>
        </w:rPr>
        <w:t> </w:t>
      </w:r>
      <w:r>
        <w:rPr>
          <w:sz w:val="22"/>
        </w:rPr>
        <w:t>M</w:t>
      </w:r>
      <w:r>
        <w:rPr>
          <w:spacing w:val="12"/>
          <w:sz w:val="22"/>
        </w:rPr>
        <w:t> </w:t>
      </w:r>
      <w:r>
        <w:rPr>
          <w:sz w:val="22"/>
        </w:rPr>
        <w:t>E).</w:t>
      </w:r>
    </w:p>
    <w:p>
      <w:pPr>
        <w:pStyle w:val="ListParagraph"/>
        <w:numPr>
          <w:ilvl w:val="0"/>
          <w:numId w:val="7"/>
        </w:numPr>
        <w:tabs>
          <w:tab w:pos="750" w:val="left" w:leader="none"/>
          <w:tab w:pos="751" w:val="left" w:leader="none"/>
        </w:tabs>
        <w:spacing w:line="240" w:lineRule="auto" w:before="119" w:after="0"/>
        <w:ind w:left="750" w:right="0" w:hanging="358"/>
        <w:jc w:val="left"/>
        <w:rPr>
          <w:sz w:val="22"/>
        </w:rPr>
      </w:pPr>
      <w:r>
        <w:rPr>
          <w:w w:val="110"/>
          <w:sz w:val="22"/>
        </w:rPr>
        <w:t>Check the assessment schedule against the portfolios to confirm sort decisions in 1</w:t>
      </w:r>
      <w:r>
        <w:rPr>
          <w:spacing w:val="48"/>
          <w:w w:val="110"/>
          <w:sz w:val="22"/>
        </w:rPr>
        <w:t> </w:t>
      </w:r>
      <w:r>
        <w:rPr>
          <w:w w:val="110"/>
          <w:sz w:val="22"/>
        </w:rPr>
        <w:t>above.</w:t>
      </w:r>
    </w:p>
    <w:p>
      <w:pPr>
        <w:pStyle w:val="ListParagraph"/>
        <w:numPr>
          <w:ilvl w:val="0"/>
          <w:numId w:val="7"/>
        </w:numPr>
        <w:tabs>
          <w:tab w:pos="750" w:val="left" w:leader="none"/>
          <w:tab w:pos="751" w:val="left" w:leader="none"/>
        </w:tabs>
        <w:spacing w:line="240" w:lineRule="auto" w:before="121" w:after="0"/>
        <w:ind w:left="750" w:right="624" w:hanging="358"/>
        <w:jc w:val="left"/>
        <w:rPr>
          <w:sz w:val="22"/>
        </w:rPr>
      </w:pPr>
      <w:r>
        <w:rPr>
          <w:w w:val="105"/>
          <w:sz w:val="22"/>
        </w:rPr>
        <w:t>From your initial selection, select portfolios which typify each grade.  Also select portfolios   which are ‘border-line’. Label each portfolio with a BM identification number grade and position BM1N,</w:t>
      </w:r>
      <w:r>
        <w:rPr>
          <w:spacing w:val="-12"/>
          <w:w w:val="105"/>
          <w:sz w:val="22"/>
        </w:rPr>
        <w:t> </w:t>
      </w:r>
      <w:r>
        <w:rPr>
          <w:w w:val="105"/>
          <w:sz w:val="22"/>
        </w:rPr>
        <w:t>BM2N/A,</w:t>
      </w:r>
      <w:r>
        <w:rPr>
          <w:spacing w:val="-10"/>
          <w:w w:val="105"/>
          <w:sz w:val="22"/>
        </w:rPr>
        <w:t> </w:t>
      </w:r>
      <w:r>
        <w:rPr>
          <w:w w:val="105"/>
          <w:sz w:val="22"/>
        </w:rPr>
        <w:t>BM3A,</w:t>
      </w:r>
      <w:r>
        <w:rPr>
          <w:spacing w:val="-11"/>
          <w:w w:val="105"/>
          <w:sz w:val="22"/>
        </w:rPr>
        <w:t> </w:t>
      </w:r>
      <w:r>
        <w:rPr>
          <w:w w:val="105"/>
          <w:sz w:val="22"/>
        </w:rPr>
        <w:t>BM4A/M,</w:t>
      </w:r>
      <w:r>
        <w:rPr>
          <w:spacing w:val="-10"/>
          <w:w w:val="105"/>
          <w:sz w:val="22"/>
        </w:rPr>
        <w:t> </w:t>
      </w:r>
      <w:r>
        <w:rPr>
          <w:w w:val="105"/>
          <w:sz w:val="22"/>
        </w:rPr>
        <w:t>BM5M,</w:t>
      </w:r>
      <w:r>
        <w:rPr>
          <w:spacing w:val="-9"/>
          <w:w w:val="105"/>
          <w:sz w:val="22"/>
        </w:rPr>
        <w:t> </w:t>
      </w:r>
      <w:r>
        <w:rPr>
          <w:w w:val="105"/>
          <w:sz w:val="22"/>
        </w:rPr>
        <w:t>BM6M/E,</w:t>
      </w:r>
      <w:r>
        <w:rPr>
          <w:spacing w:val="-10"/>
          <w:w w:val="105"/>
          <w:sz w:val="22"/>
        </w:rPr>
        <w:t> </w:t>
      </w:r>
      <w:r>
        <w:rPr>
          <w:w w:val="105"/>
          <w:sz w:val="22"/>
        </w:rPr>
        <w:t>BM7E</w:t>
      </w:r>
      <w:r>
        <w:rPr>
          <w:spacing w:val="-11"/>
          <w:w w:val="105"/>
          <w:sz w:val="22"/>
        </w:rPr>
        <w:t> </w:t>
      </w:r>
      <w:r>
        <w:rPr>
          <w:w w:val="105"/>
          <w:sz w:val="22"/>
        </w:rPr>
        <w:t>(although</w:t>
      </w:r>
      <w:r>
        <w:rPr>
          <w:spacing w:val="-12"/>
          <w:w w:val="105"/>
          <w:sz w:val="22"/>
        </w:rPr>
        <w:t> </w:t>
      </w:r>
      <w:r>
        <w:rPr>
          <w:w w:val="105"/>
          <w:sz w:val="22"/>
        </w:rPr>
        <w:t>not</w:t>
      </w:r>
      <w:r>
        <w:rPr>
          <w:spacing w:val="-9"/>
          <w:w w:val="105"/>
          <w:sz w:val="22"/>
        </w:rPr>
        <w:t> </w:t>
      </w:r>
      <w:r>
        <w:rPr>
          <w:w w:val="105"/>
          <w:sz w:val="22"/>
        </w:rPr>
        <w:t>in</w:t>
      </w:r>
      <w:r>
        <w:rPr>
          <w:spacing w:val="-13"/>
          <w:w w:val="105"/>
          <w:sz w:val="22"/>
        </w:rPr>
        <w:t> </w:t>
      </w:r>
      <w:r>
        <w:rPr>
          <w:w w:val="105"/>
          <w:sz w:val="22"/>
        </w:rPr>
        <w:t>that</w:t>
      </w:r>
      <w:r>
        <w:rPr>
          <w:spacing w:val="-12"/>
          <w:w w:val="105"/>
          <w:sz w:val="22"/>
        </w:rPr>
        <w:t> </w:t>
      </w:r>
      <w:r>
        <w:rPr>
          <w:w w:val="105"/>
          <w:sz w:val="22"/>
        </w:rPr>
        <w:t>number</w:t>
      </w:r>
      <w:r>
        <w:rPr>
          <w:spacing w:val="-12"/>
          <w:w w:val="105"/>
          <w:sz w:val="22"/>
        </w:rPr>
        <w:t> </w:t>
      </w:r>
      <w:r>
        <w:rPr>
          <w:w w:val="105"/>
          <w:sz w:val="22"/>
        </w:rPr>
        <w:t>order).</w:t>
      </w:r>
    </w:p>
    <w:p>
      <w:pPr>
        <w:pStyle w:val="ListParagraph"/>
        <w:numPr>
          <w:ilvl w:val="0"/>
          <w:numId w:val="7"/>
        </w:numPr>
        <w:tabs>
          <w:tab w:pos="750" w:val="left" w:leader="none"/>
          <w:tab w:pos="751" w:val="left" w:leader="none"/>
        </w:tabs>
        <w:spacing w:line="240" w:lineRule="auto" w:before="120" w:after="0"/>
        <w:ind w:left="750" w:right="793" w:hanging="358"/>
        <w:jc w:val="left"/>
        <w:rPr>
          <w:sz w:val="22"/>
        </w:rPr>
      </w:pPr>
      <w:r>
        <w:rPr>
          <w:w w:val="110"/>
          <w:sz w:val="22"/>
        </w:rPr>
        <w:t>From your initial selection choose two other examples of each result. These must be labelled BMA, BMB, BMC, BMD etc. Some of these will be used at the Panel Meeting for group discussion. At least four of these will be set aside for markers to mark independently either at or after the Panel</w:t>
      </w:r>
      <w:r>
        <w:rPr>
          <w:spacing w:val="2"/>
          <w:w w:val="110"/>
          <w:sz w:val="22"/>
        </w:rPr>
        <w:t> </w:t>
      </w:r>
      <w:r>
        <w:rPr>
          <w:w w:val="110"/>
          <w:sz w:val="22"/>
        </w:rPr>
        <w:t>Meeting.</w:t>
      </w:r>
    </w:p>
    <w:p>
      <w:pPr>
        <w:pStyle w:val="ListParagraph"/>
        <w:numPr>
          <w:ilvl w:val="0"/>
          <w:numId w:val="7"/>
        </w:numPr>
        <w:tabs>
          <w:tab w:pos="750" w:val="left" w:leader="none"/>
          <w:tab w:pos="751" w:val="left" w:leader="none"/>
        </w:tabs>
        <w:spacing w:line="240" w:lineRule="auto" w:before="118" w:after="0"/>
        <w:ind w:left="750" w:right="0" w:hanging="358"/>
        <w:jc w:val="left"/>
        <w:rPr>
          <w:sz w:val="22"/>
        </w:rPr>
      </w:pPr>
      <w:r>
        <w:rPr>
          <w:w w:val="110"/>
          <w:sz w:val="22"/>
        </w:rPr>
        <w:t>Cover the label of each portfolio with a Post-it sticker to hide the name and</w:t>
      </w:r>
      <w:r>
        <w:rPr>
          <w:spacing w:val="-20"/>
          <w:w w:val="110"/>
          <w:sz w:val="22"/>
        </w:rPr>
        <w:t> </w:t>
      </w:r>
      <w:r>
        <w:rPr>
          <w:w w:val="110"/>
          <w:sz w:val="22"/>
        </w:rPr>
        <w:t>NSN.</w:t>
      </w:r>
    </w:p>
    <w:p>
      <w:pPr>
        <w:pStyle w:val="ListParagraph"/>
        <w:numPr>
          <w:ilvl w:val="0"/>
          <w:numId w:val="7"/>
        </w:numPr>
        <w:tabs>
          <w:tab w:pos="750" w:val="left" w:leader="none"/>
          <w:tab w:pos="751" w:val="left" w:leader="none"/>
        </w:tabs>
        <w:spacing w:line="240" w:lineRule="auto" w:before="121" w:after="0"/>
        <w:ind w:left="750" w:right="0" w:hanging="358"/>
        <w:jc w:val="left"/>
        <w:rPr>
          <w:sz w:val="22"/>
        </w:rPr>
      </w:pPr>
      <w:r>
        <w:rPr>
          <w:w w:val="110"/>
          <w:sz w:val="22"/>
        </w:rPr>
        <w:t>Photocopy each labelled BM portfolio twice, initially. These become your master</w:t>
      </w:r>
      <w:r>
        <w:rPr>
          <w:spacing w:val="-33"/>
          <w:w w:val="110"/>
          <w:sz w:val="22"/>
        </w:rPr>
        <w:t> </w:t>
      </w:r>
      <w:r>
        <w:rPr>
          <w:w w:val="110"/>
          <w:sz w:val="22"/>
        </w:rPr>
        <w:t>copies.</w:t>
      </w:r>
    </w:p>
    <w:p>
      <w:pPr>
        <w:pStyle w:val="ListParagraph"/>
        <w:numPr>
          <w:ilvl w:val="0"/>
          <w:numId w:val="7"/>
        </w:numPr>
        <w:tabs>
          <w:tab w:pos="752" w:val="left" w:leader="none"/>
          <w:tab w:pos="753" w:val="left" w:leader="none"/>
        </w:tabs>
        <w:spacing w:line="240" w:lineRule="auto" w:before="119" w:after="0"/>
        <w:ind w:left="752" w:right="794" w:hanging="360"/>
        <w:jc w:val="left"/>
        <w:rPr>
          <w:sz w:val="22"/>
        </w:rPr>
      </w:pPr>
      <w:r>
        <w:rPr>
          <w:w w:val="110"/>
          <w:sz w:val="22"/>
        </w:rPr>
        <w:t>Remove the Post-it stickers from the original portfolios and return them to the correct courier box.</w:t>
      </w:r>
    </w:p>
    <w:p>
      <w:pPr>
        <w:pStyle w:val="ListParagraph"/>
        <w:numPr>
          <w:ilvl w:val="0"/>
          <w:numId w:val="7"/>
        </w:numPr>
        <w:tabs>
          <w:tab w:pos="752" w:val="left" w:leader="none"/>
          <w:tab w:pos="753" w:val="left" w:leader="none"/>
        </w:tabs>
        <w:spacing w:line="240" w:lineRule="auto" w:before="121" w:after="0"/>
        <w:ind w:left="752" w:right="0" w:hanging="360"/>
        <w:jc w:val="left"/>
        <w:rPr>
          <w:sz w:val="22"/>
        </w:rPr>
      </w:pPr>
      <w:r>
        <w:rPr>
          <w:w w:val="110"/>
          <w:sz w:val="22"/>
        </w:rPr>
        <w:t>Send one </w:t>
      </w:r>
      <w:r>
        <w:rPr>
          <w:w w:val="110"/>
          <w:sz w:val="22"/>
          <w:u w:val="single"/>
        </w:rPr>
        <w:t>marked</w:t>
      </w:r>
      <w:r>
        <w:rPr>
          <w:w w:val="110"/>
          <w:sz w:val="22"/>
        </w:rPr>
        <w:t> set to your NAF by Monday 18 December 2019. Dropbox is</w:t>
      </w:r>
      <w:r>
        <w:rPr>
          <w:spacing w:val="55"/>
          <w:w w:val="110"/>
          <w:sz w:val="22"/>
        </w:rPr>
        <w:t> </w:t>
      </w:r>
      <w:r>
        <w:rPr>
          <w:w w:val="110"/>
          <w:sz w:val="22"/>
        </w:rPr>
        <w:t>acceptable.</w:t>
      </w:r>
    </w:p>
    <w:p>
      <w:pPr>
        <w:spacing w:after="0" w:line="240" w:lineRule="auto"/>
        <w:jc w:val="left"/>
        <w:rPr>
          <w:sz w:val="22"/>
        </w:rPr>
        <w:sectPr>
          <w:pgSz w:w="11910" w:h="16840"/>
          <w:pgMar w:header="0" w:footer="297" w:top="760" w:bottom="480" w:left="740" w:right="580"/>
        </w:sectPr>
      </w:pPr>
    </w:p>
    <w:p>
      <w:pPr>
        <w:pStyle w:val="ListParagraph"/>
        <w:numPr>
          <w:ilvl w:val="0"/>
          <w:numId w:val="7"/>
        </w:numPr>
        <w:tabs>
          <w:tab w:pos="752" w:val="left" w:leader="none"/>
          <w:tab w:pos="753" w:val="left" w:leader="none"/>
        </w:tabs>
        <w:spacing w:line="240" w:lineRule="auto" w:before="74" w:after="0"/>
        <w:ind w:left="752" w:right="622" w:hanging="360"/>
        <w:jc w:val="left"/>
        <w:rPr>
          <w:sz w:val="22"/>
        </w:rPr>
      </w:pPr>
      <w:r>
        <w:rPr>
          <w:w w:val="110"/>
          <w:sz w:val="22"/>
        </w:rPr>
        <w:t>Where insufficient portfolios at a grade are available, or where portfolios are too large to be photocopied, you may assemble guinea pigs using specific material from a range of portfolios, including guinea pig material from earlier years. These portfolios should be labeled BMS1N, BMS2N/A,</w:t>
      </w:r>
      <w:r>
        <w:rPr>
          <w:spacing w:val="-30"/>
          <w:w w:val="110"/>
          <w:sz w:val="22"/>
        </w:rPr>
        <w:t> </w:t>
      </w:r>
      <w:r>
        <w:rPr>
          <w:w w:val="110"/>
          <w:sz w:val="22"/>
        </w:rPr>
        <w:t>BMS3A,</w:t>
      </w:r>
      <w:r>
        <w:rPr>
          <w:spacing w:val="-30"/>
          <w:w w:val="110"/>
          <w:sz w:val="22"/>
        </w:rPr>
        <w:t> </w:t>
      </w:r>
      <w:r>
        <w:rPr>
          <w:w w:val="110"/>
          <w:sz w:val="22"/>
        </w:rPr>
        <w:t>BMS4A/M,</w:t>
      </w:r>
      <w:r>
        <w:rPr>
          <w:spacing w:val="-30"/>
          <w:w w:val="110"/>
          <w:sz w:val="22"/>
        </w:rPr>
        <w:t> </w:t>
      </w:r>
      <w:r>
        <w:rPr>
          <w:w w:val="110"/>
          <w:sz w:val="22"/>
        </w:rPr>
        <w:t>BMS5M,</w:t>
      </w:r>
      <w:r>
        <w:rPr>
          <w:spacing w:val="-30"/>
          <w:w w:val="110"/>
          <w:sz w:val="22"/>
        </w:rPr>
        <w:t> </w:t>
      </w:r>
      <w:r>
        <w:rPr>
          <w:w w:val="110"/>
          <w:sz w:val="22"/>
        </w:rPr>
        <w:t>BMS6M/E,</w:t>
      </w:r>
      <w:r>
        <w:rPr>
          <w:spacing w:val="-30"/>
          <w:w w:val="110"/>
          <w:sz w:val="22"/>
        </w:rPr>
        <w:t> </w:t>
      </w:r>
      <w:r>
        <w:rPr>
          <w:w w:val="110"/>
          <w:sz w:val="22"/>
        </w:rPr>
        <w:t>BMS7E</w:t>
      </w:r>
      <w:r>
        <w:rPr>
          <w:spacing w:val="-31"/>
          <w:w w:val="110"/>
          <w:sz w:val="22"/>
        </w:rPr>
        <w:t> </w:t>
      </w:r>
      <w:r>
        <w:rPr>
          <w:w w:val="110"/>
          <w:sz w:val="22"/>
        </w:rPr>
        <w:t>(again</w:t>
      </w:r>
      <w:r>
        <w:rPr>
          <w:spacing w:val="-32"/>
          <w:w w:val="110"/>
          <w:sz w:val="22"/>
        </w:rPr>
        <w:t> </w:t>
      </w:r>
      <w:r>
        <w:rPr>
          <w:w w:val="110"/>
          <w:sz w:val="22"/>
        </w:rPr>
        <w:t>change</w:t>
      </w:r>
      <w:r>
        <w:rPr>
          <w:spacing w:val="-32"/>
          <w:w w:val="110"/>
          <w:sz w:val="22"/>
        </w:rPr>
        <w:t> </w:t>
      </w:r>
      <w:r>
        <w:rPr>
          <w:w w:val="110"/>
          <w:sz w:val="22"/>
        </w:rPr>
        <w:t>the</w:t>
      </w:r>
      <w:r>
        <w:rPr>
          <w:spacing w:val="-32"/>
          <w:w w:val="110"/>
          <w:sz w:val="22"/>
        </w:rPr>
        <w:t> </w:t>
      </w:r>
      <w:r>
        <w:rPr>
          <w:w w:val="110"/>
          <w:sz w:val="22"/>
        </w:rPr>
        <w:t>order</w:t>
      </w:r>
      <w:r>
        <w:rPr>
          <w:spacing w:val="-31"/>
          <w:w w:val="110"/>
          <w:sz w:val="22"/>
        </w:rPr>
        <w:t> </w:t>
      </w:r>
      <w:r>
        <w:rPr>
          <w:w w:val="110"/>
          <w:sz w:val="22"/>
        </w:rPr>
        <w:t>of</w:t>
      </w:r>
      <w:r>
        <w:rPr>
          <w:spacing w:val="-31"/>
          <w:w w:val="110"/>
          <w:sz w:val="22"/>
        </w:rPr>
        <w:t> </w:t>
      </w:r>
      <w:r>
        <w:rPr>
          <w:w w:val="110"/>
          <w:sz w:val="22"/>
        </w:rPr>
        <w:t>these).</w:t>
      </w:r>
    </w:p>
    <w:p>
      <w:pPr>
        <w:pStyle w:val="ListParagraph"/>
        <w:numPr>
          <w:ilvl w:val="0"/>
          <w:numId w:val="7"/>
        </w:numPr>
        <w:tabs>
          <w:tab w:pos="752" w:val="left" w:leader="none"/>
        </w:tabs>
        <w:spacing w:line="240" w:lineRule="auto" w:before="119" w:after="0"/>
        <w:ind w:left="752" w:right="1158" w:hanging="360"/>
        <w:jc w:val="left"/>
        <w:rPr>
          <w:sz w:val="22"/>
        </w:rPr>
      </w:pPr>
      <w:r>
        <w:rPr>
          <w:w w:val="110"/>
          <w:sz w:val="22"/>
        </w:rPr>
        <w:t>You</w:t>
      </w:r>
      <w:r>
        <w:rPr>
          <w:spacing w:val="-9"/>
          <w:w w:val="110"/>
          <w:sz w:val="22"/>
        </w:rPr>
        <w:t> </w:t>
      </w:r>
      <w:r>
        <w:rPr>
          <w:w w:val="110"/>
          <w:sz w:val="22"/>
        </w:rPr>
        <w:t>may</w:t>
      </w:r>
      <w:r>
        <w:rPr>
          <w:spacing w:val="-12"/>
          <w:w w:val="110"/>
          <w:sz w:val="22"/>
        </w:rPr>
        <w:t> </w:t>
      </w:r>
      <w:r>
        <w:rPr>
          <w:w w:val="110"/>
          <w:sz w:val="22"/>
        </w:rPr>
        <w:t>also</w:t>
      </w:r>
      <w:r>
        <w:rPr>
          <w:spacing w:val="-9"/>
          <w:w w:val="110"/>
          <w:sz w:val="22"/>
        </w:rPr>
        <w:t> </w:t>
      </w:r>
      <w:r>
        <w:rPr>
          <w:w w:val="110"/>
          <w:sz w:val="22"/>
        </w:rPr>
        <w:t>wish</w:t>
      </w:r>
      <w:r>
        <w:rPr>
          <w:spacing w:val="-12"/>
          <w:w w:val="110"/>
          <w:sz w:val="22"/>
        </w:rPr>
        <w:t> </w:t>
      </w:r>
      <w:r>
        <w:rPr>
          <w:w w:val="110"/>
          <w:sz w:val="22"/>
        </w:rPr>
        <w:t>to</w:t>
      </w:r>
      <w:r>
        <w:rPr>
          <w:spacing w:val="-11"/>
          <w:w w:val="110"/>
          <w:sz w:val="22"/>
        </w:rPr>
        <w:t> </w:t>
      </w:r>
      <w:r>
        <w:rPr>
          <w:w w:val="110"/>
          <w:sz w:val="22"/>
        </w:rPr>
        <w:t>photocopy</w:t>
      </w:r>
      <w:r>
        <w:rPr>
          <w:spacing w:val="-13"/>
          <w:w w:val="110"/>
          <w:sz w:val="22"/>
        </w:rPr>
        <w:t> </w:t>
      </w:r>
      <w:r>
        <w:rPr>
          <w:w w:val="110"/>
          <w:sz w:val="22"/>
        </w:rPr>
        <w:t>specific</w:t>
      </w:r>
      <w:r>
        <w:rPr>
          <w:spacing w:val="-11"/>
          <w:w w:val="110"/>
          <w:sz w:val="22"/>
        </w:rPr>
        <w:t> </w:t>
      </w:r>
      <w:r>
        <w:rPr>
          <w:w w:val="110"/>
          <w:sz w:val="22"/>
        </w:rPr>
        <w:t>portfolio</w:t>
      </w:r>
      <w:r>
        <w:rPr>
          <w:spacing w:val="-12"/>
          <w:w w:val="110"/>
          <w:sz w:val="22"/>
        </w:rPr>
        <w:t> </w:t>
      </w:r>
      <w:r>
        <w:rPr>
          <w:w w:val="110"/>
          <w:sz w:val="22"/>
        </w:rPr>
        <w:t>drawings</w:t>
      </w:r>
      <w:r>
        <w:rPr>
          <w:spacing w:val="-12"/>
          <w:w w:val="110"/>
          <w:sz w:val="22"/>
        </w:rPr>
        <w:t> </w:t>
      </w:r>
      <w:r>
        <w:rPr>
          <w:w w:val="110"/>
          <w:sz w:val="22"/>
        </w:rPr>
        <w:t>to</w:t>
      </w:r>
      <w:r>
        <w:rPr>
          <w:spacing w:val="-9"/>
          <w:w w:val="110"/>
          <w:sz w:val="22"/>
        </w:rPr>
        <w:t> </w:t>
      </w:r>
      <w:r>
        <w:rPr>
          <w:w w:val="110"/>
          <w:sz w:val="22"/>
        </w:rPr>
        <w:t>exemplify</w:t>
      </w:r>
      <w:r>
        <w:rPr>
          <w:spacing w:val="-13"/>
          <w:w w:val="110"/>
          <w:sz w:val="22"/>
        </w:rPr>
        <w:t> </w:t>
      </w:r>
      <w:r>
        <w:rPr>
          <w:w w:val="110"/>
          <w:sz w:val="22"/>
        </w:rPr>
        <w:t>specific</w:t>
      </w:r>
      <w:r>
        <w:rPr>
          <w:spacing w:val="-15"/>
          <w:w w:val="110"/>
          <w:sz w:val="22"/>
        </w:rPr>
        <w:t> </w:t>
      </w:r>
      <w:r>
        <w:rPr>
          <w:w w:val="110"/>
          <w:sz w:val="22"/>
        </w:rPr>
        <w:t>aspects against</w:t>
      </w:r>
      <w:r>
        <w:rPr>
          <w:spacing w:val="7"/>
          <w:w w:val="110"/>
          <w:sz w:val="22"/>
        </w:rPr>
        <w:t> </w:t>
      </w:r>
      <w:r>
        <w:rPr>
          <w:w w:val="110"/>
          <w:sz w:val="22"/>
        </w:rPr>
        <w:t>the</w:t>
      </w:r>
      <w:r>
        <w:rPr>
          <w:spacing w:val="6"/>
          <w:w w:val="110"/>
          <w:sz w:val="22"/>
        </w:rPr>
        <w:t> </w:t>
      </w:r>
      <w:r>
        <w:rPr>
          <w:w w:val="110"/>
          <w:sz w:val="22"/>
        </w:rPr>
        <w:t>criteria.</w:t>
      </w:r>
      <w:r>
        <w:rPr>
          <w:spacing w:val="4"/>
          <w:w w:val="110"/>
          <w:sz w:val="22"/>
        </w:rPr>
        <w:t> </w:t>
      </w:r>
      <w:r>
        <w:rPr>
          <w:w w:val="110"/>
          <w:sz w:val="22"/>
        </w:rPr>
        <w:t>These</w:t>
      </w:r>
      <w:r>
        <w:rPr>
          <w:spacing w:val="8"/>
          <w:w w:val="110"/>
          <w:sz w:val="22"/>
        </w:rPr>
        <w:t> </w:t>
      </w:r>
      <w:r>
        <w:rPr>
          <w:w w:val="110"/>
          <w:sz w:val="22"/>
        </w:rPr>
        <w:t>are</w:t>
      </w:r>
      <w:r>
        <w:rPr>
          <w:spacing w:val="3"/>
          <w:w w:val="110"/>
          <w:sz w:val="22"/>
        </w:rPr>
        <w:t> </w:t>
      </w:r>
      <w:r>
        <w:rPr>
          <w:w w:val="110"/>
          <w:sz w:val="22"/>
        </w:rPr>
        <w:t>called</w:t>
      </w:r>
      <w:r>
        <w:rPr>
          <w:spacing w:val="8"/>
          <w:w w:val="110"/>
          <w:sz w:val="22"/>
        </w:rPr>
        <w:t> </w:t>
      </w:r>
      <w:r>
        <w:rPr>
          <w:w w:val="110"/>
          <w:sz w:val="22"/>
        </w:rPr>
        <w:t>“Selectives”</w:t>
      </w:r>
      <w:r>
        <w:rPr>
          <w:spacing w:val="7"/>
          <w:w w:val="110"/>
          <w:sz w:val="22"/>
        </w:rPr>
        <w:t> </w:t>
      </w:r>
      <w:r>
        <w:rPr>
          <w:w w:val="110"/>
          <w:sz w:val="22"/>
        </w:rPr>
        <w:t>and</w:t>
      </w:r>
      <w:r>
        <w:rPr>
          <w:spacing w:val="8"/>
          <w:w w:val="110"/>
          <w:sz w:val="22"/>
        </w:rPr>
        <w:t> </w:t>
      </w:r>
      <w:r>
        <w:rPr>
          <w:w w:val="110"/>
          <w:sz w:val="22"/>
        </w:rPr>
        <w:t>are</w:t>
      </w:r>
      <w:r>
        <w:rPr>
          <w:spacing w:val="3"/>
          <w:w w:val="110"/>
          <w:sz w:val="22"/>
        </w:rPr>
        <w:t> </w:t>
      </w:r>
      <w:r>
        <w:rPr>
          <w:w w:val="110"/>
          <w:sz w:val="22"/>
        </w:rPr>
        <w:t>usually</w:t>
      </w:r>
      <w:r>
        <w:rPr>
          <w:spacing w:val="7"/>
          <w:w w:val="110"/>
          <w:sz w:val="22"/>
        </w:rPr>
        <w:t> </w:t>
      </w:r>
      <w:r>
        <w:rPr>
          <w:w w:val="110"/>
          <w:sz w:val="22"/>
        </w:rPr>
        <w:t>labeled</w:t>
      </w:r>
      <w:r>
        <w:rPr>
          <w:spacing w:val="7"/>
          <w:w w:val="110"/>
          <w:sz w:val="22"/>
        </w:rPr>
        <w:t> </w:t>
      </w:r>
      <w:r>
        <w:rPr>
          <w:w w:val="110"/>
          <w:sz w:val="22"/>
        </w:rPr>
        <w:t>S1,</w:t>
      </w:r>
      <w:r>
        <w:rPr>
          <w:spacing w:val="11"/>
          <w:w w:val="110"/>
          <w:sz w:val="22"/>
        </w:rPr>
        <w:t> </w:t>
      </w:r>
      <w:r>
        <w:rPr>
          <w:w w:val="110"/>
          <w:sz w:val="22"/>
        </w:rPr>
        <w:t>S2,</w:t>
      </w:r>
      <w:r>
        <w:rPr>
          <w:spacing w:val="5"/>
          <w:w w:val="110"/>
          <w:sz w:val="22"/>
        </w:rPr>
        <w:t> </w:t>
      </w:r>
      <w:r>
        <w:rPr>
          <w:w w:val="110"/>
          <w:sz w:val="22"/>
        </w:rPr>
        <w:t>S3,</w:t>
      </w:r>
      <w:r>
        <w:rPr>
          <w:spacing w:val="5"/>
          <w:w w:val="110"/>
          <w:sz w:val="22"/>
        </w:rPr>
        <w:t> </w:t>
      </w:r>
      <w:r>
        <w:rPr>
          <w:w w:val="110"/>
          <w:sz w:val="22"/>
        </w:rPr>
        <w:t>etc.</w:t>
      </w:r>
    </w:p>
    <w:p>
      <w:pPr>
        <w:pStyle w:val="BodyText"/>
        <w:spacing w:before="120"/>
        <w:ind w:left="392" w:right="761"/>
      </w:pPr>
      <w:r>
        <w:rPr>
          <w:w w:val="110"/>
        </w:rPr>
        <w:t>Scanning and/or photocopying of benchmarks will be arranged at the meeting venue, at NZQA</w:t>
      </w:r>
      <w:r>
        <w:rPr>
          <w:spacing w:val="-39"/>
          <w:w w:val="110"/>
        </w:rPr>
        <w:t> </w:t>
      </w:r>
      <w:r>
        <w:rPr>
          <w:w w:val="110"/>
        </w:rPr>
        <w:t>or by the panel leader. Scanned electronic copies can be given out to markers instead of hard  copies.</w:t>
      </w:r>
    </w:p>
    <w:p>
      <w:pPr>
        <w:pStyle w:val="BodyText"/>
        <w:spacing w:before="120"/>
        <w:ind w:left="392" w:right="668"/>
      </w:pPr>
      <w:r>
        <w:rPr>
          <w:w w:val="110"/>
        </w:rPr>
        <w:t>Selected benchmarks must be ready to be distributed to markers at the Panel Meeting. You must provide</w:t>
      </w:r>
      <w:r>
        <w:rPr>
          <w:spacing w:val="-8"/>
          <w:w w:val="110"/>
        </w:rPr>
        <w:t> </w:t>
      </w:r>
      <w:r>
        <w:rPr>
          <w:w w:val="110"/>
        </w:rPr>
        <w:t>the</w:t>
      </w:r>
      <w:r>
        <w:rPr>
          <w:spacing w:val="-7"/>
          <w:w w:val="110"/>
        </w:rPr>
        <w:t> </w:t>
      </w:r>
      <w:r>
        <w:rPr>
          <w:w w:val="110"/>
        </w:rPr>
        <w:t>NAF</w:t>
      </w:r>
      <w:r>
        <w:rPr>
          <w:spacing w:val="-8"/>
          <w:w w:val="110"/>
        </w:rPr>
        <w:t> </w:t>
      </w:r>
      <w:r>
        <w:rPr>
          <w:w w:val="110"/>
        </w:rPr>
        <w:t>with</w:t>
      </w:r>
      <w:r>
        <w:rPr>
          <w:spacing w:val="-9"/>
          <w:w w:val="110"/>
        </w:rPr>
        <w:t> </w:t>
      </w:r>
      <w:r>
        <w:rPr>
          <w:w w:val="110"/>
        </w:rPr>
        <w:t>a</w:t>
      </w:r>
      <w:r>
        <w:rPr>
          <w:spacing w:val="-5"/>
          <w:w w:val="110"/>
        </w:rPr>
        <w:t> </w:t>
      </w:r>
      <w:r>
        <w:rPr>
          <w:w w:val="110"/>
        </w:rPr>
        <w:t>complete</w:t>
      </w:r>
      <w:r>
        <w:rPr>
          <w:spacing w:val="-8"/>
          <w:w w:val="110"/>
        </w:rPr>
        <w:t> </w:t>
      </w:r>
      <w:r>
        <w:rPr>
          <w:w w:val="110"/>
        </w:rPr>
        <w:t>set</w:t>
      </w:r>
      <w:r>
        <w:rPr>
          <w:spacing w:val="-7"/>
          <w:w w:val="110"/>
        </w:rPr>
        <w:t> </w:t>
      </w:r>
      <w:r>
        <w:rPr>
          <w:w w:val="110"/>
        </w:rPr>
        <w:t>of</w:t>
      </w:r>
      <w:r>
        <w:rPr>
          <w:spacing w:val="-6"/>
          <w:w w:val="110"/>
        </w:rPr>
        <w:t> </w:t>
      </w:r>
      <w:r>
        <w:rPr>
          <w:w w:val="110"/>
        </w:rPr>
        <w:t>labelled</w:t>
      </w:r>
      <w:r>
        <w:rPr>
          <w:spacing w:val="-8"/>
          <w:w w:val="110"/>
        </w:rPr>
        <w:t> </w:t>
      </w:r>
      <w:r>
        <w:rPr>
          <w:w w:val="110"/>
        </w:rPr>
        <w:t>BMs</w:t>
      </w:r>
      <w:r>
        <w:rPr>
          <w:spacing w:val="-8"/>
          <w:w w:val="110"/>
        </w:rPr>
        <w:t> </w:t>
      </w:r>
      <w:r>
        <w:rPr>
          <w:w w:val="110"/>
        </w:rPr>
        <w:t>before</w:t>
      </w:r>
      <w:r>
        <w:rPr>
          <w:spacing w:val="-11"/>
          <w:w w:val="110"/>
        </w:rPr>
        <w:t> </w:t>
      </w:r>
      <w:r>
        <w:rPr>
          <w:w w:val="110"/>
        </w:rPr>
        <w:t>the</w:t>
      </w:r>
      <w:r>
        <w:rPr>
          <w:spacing w:val="-9"/>
          <w:w w:val="110"/>
        </w:rPr>
        <w:t> </w:t>
      </w:r>
      <w:r>
        <w:rPr>
          <w:w w:val="110"/>
        </w:rPr>
        <w:t>end</w:t>
      </w:r>
      <w:r>
        <w:rPr>
          <w:spacing w:val="-8"/>
          <w:w w:val="110"/>
        </w:rPr>
        <w:t> </w:t>
      </w:r>
      <w:r>
        <w:rPr>
          <w:w w:val="110"/>
        </w:rPr>
        <w:t>of</w:t>
      </w:r>
      <w:r>
        <w:rPr>
          <w:spacing w:val="-6"/>
          <w:w w:val="110"/>
        </w:rPr>
        <w:t> </w:t>
      </w:r>
      <w:r>
        <w:rPr>
          <w:w w:val="110"/>
        </w:rPr>
        <w:t>the</w:t>
      </w:r>
      <w:r>
        <w:rPr>
          <w:spacing w:val="-10"/>
          <w:w w:val="110"/>
        </w:rPr>
        <w:t> </w:t>
      </w:r>
      <w:r>
        <w:rPr>
          <w:w w:val="110"/>
        </w:rPr>
        <w:t>Bench-mark</w:t>
      </w:r>
      <w:r>
        <w:rPr>
          <w:spacing w:val="-8"/>
          <w:w w:val="110"/>
        </w:rPr>
        <w:t> </w:t>
      </w:r>
      <w:r>
        <w:rPr>
          <w:w w:val="110"/>
        </w:rPr>
        <w:t>meeting.</w:t>
      </w:r>
      <w:r>
        <w:rPr>
          <w:spacing w:val="-8"/>
          <w:w w:val="110"/>
        </w:rPr>
        <w:t> </w:t>
      </w:r>
      <w:r>
        <w:rPr>
          <w:w w:val="110"/>
        </w:rPr>
        <w:t>If additional BM are developed during marking, a complete, assessed and annotated set of guinea pig portfolios must be sent to your NAF by Monday 16 December</w:t>
      </w:r>
      <w:r>
        <w:rPr>
          <w:spacing w:val="-13"/>
          <w:w w:val="110"/>
        </w:rPr>
        <w:t> </w:t>
      </w:r>
      <w:r>
        <w:rPr>
          <w:w w:val="110"/>
        </w:rPr>
        <w:t>2019.</w:t>
      </w:r>
    </w:p>
    <w:p>
      <w:pPr>
        <w:pStyle w:val="BodyText"/>
        <w:spacing w:before="5"/>
        <w:rPr>
          <w:sz w:val="17"/>
        </w:rPr>
      </w:pPr>
      <w:r>
        <w:rPr/>
        <w:pict>
          <v:shape style="position:absolute;margin-left:56.880001pt;margin-top:12.233933pt;width:481.45pt;height:63.15pt;mso-position-horizontal-relative:page;mso-position-vertical-relative:paragraph;z-index:-472;mso-wrap-distance-left:0;mso-wrap-distance-right:0" type="#_x0000_t202" filled="true" fillcolor="#ffbf00" stroked="true" strokeweight=".480011pt" strokecolor="#000000">
            <v:textbox inset="0,0,0,0">
              <w:txbxContent>
                <w:p>
                  <w:pPr>
                    <w:pStyle w:val="BodyText"/>
                    <w:spacing w:before="121"/>
                    <w:ind w:left="105" w:right="121"/>
                  </w:pPr>
                  <w:r>
                    <w:rPr>
                      <w:w w:val="110"/>
                    </w:rPr>
                    <w:t>A set of the annotated exemplars (guinea pigs or benchmarks or other) will need to be submitted to the NAF at the end of the marking round (Dropbox is acceptable</w:t>
                  </w:r>
                  <w:r>
                    <w:rPr>
                      <w:w w:val="110"/>
                      <w:sz w:val="20"/>
                    </w:rPr>
                    <w:t>)</w:t>
                  </w:r>
                  <w:r>
                    <w:rPr>
                      <w:w w:val="110"/>
                    </w:rPr>
                    <w:t>. The panel leader will need to provide brief notes (annotations) outlining the reasons that it gained a particular grade, and reasons why it did not gain the next higher grade.</w:t>
                  </w:r>
                </w:p>
              </w:txbxContent>
            </v:textbox>
            <v:fill type="solid"/>
            <v:stroke dashstyle="solid"/>
            <w10:wrap type="topAndBottom"/>
          </v:shape>
        </w:pict>
      </w:r>
    </w:p>
    <w:p>
      <w:pPr>
        <w:pStyle w:val="BodyText"/>
        <w:spacing w:before="5"/>
        <w:rPr>
          <w:sz w:val="11"/>
        </w:rPr>
      </w:pPr>
    </w:p>
    <w:p>
      <w:pPr>
        <w:pStyle w:val="BodyText"/>
        <w:spacing w:before="92"/>
        <w:ind w:left="392" w:right="769"/>
      </w:pPr>
      <w:r>
        <w:rPr>
          <w:w w:val="110"/>
        </w:rPr>
        <w:t>Usually, only three annotated exemplars are required – a mid-level A, a mid-level M and an E. Others can be provided (e.g. different contexts, different modes – CAD vs hand drawn).</w:t>
      </w:r>
    </w:p>
    <w:p>
      <w:pPr>
        <w:pStyle w:val="BodyText"/>
        <w:spacing w:before="5"/>
        <w:rPr>
          <w:sz w:val="31"/>
        </w:rPr>
      </w:pPr>
    </w:p>
    <w:p>
      <w:pPr>
        <w:pStyle w:val="Heading3"/>
      </w:pPr>
      <w:bookmarkStart w:name="_TOC_250011" w:id="37"/>
      <w:bookmarkEnd w:id="37"/>
      <w:r>
        <w:rPr>
          <w:w w:val="120"/>
        </w:rPr>
        <w:t>Other preparation</w:t>
      </w:r>
    </w:p>
    <w:p>
      <w:pPr>
        <w:pStyle w:val="BodyText"/>
        <w:spacing w:before="120"/>
        <w:ind w:left="392" w:right="567"/>
      </w:pPr>
      <w:r>
        <w:rPr>
          <w:w w:val="110"/>
        </w:rPr>
        <w:t>Go through subject-specific instructions and check marking timelines; ensure that there are enough photocopies for each marker, or electronic. Ensure each marker has sufficient copies of the assessment schedule to practice with (schedules photocopied on coloured paper is useful). The NAF can provide</w:t>
      </w:r>
      <w:r>
        <w:rPr>
          <w:spacing w:val="2"/>
          <w:w w:val="110"/>
        </w:rPr>
        <w:t> </w:t>
      </w:r>
      <w:r>
        <w:rPr>
          <w:w w:val="110"/>
        </w:rPr>
        <w:t>this.</w:t>
      </w:r>
    </w:p>
    <w:p>
      <w:pPr>
        <w:pStyle w:val="BodyText"/>
        <w:spacing w:before="8"/>
        <w:rPr>
          <w:sz w:val="20"/>
        </w:rPr>
      </w:pPr>
    </w:p>
    <w:p>
      <w:pPr>
        <w:pStyle w:val="BodyText"/>
        <w:spacing w:before="1"/>
        <w:ind w:left="392" w:right="674"/>
      </w:pPr>
      <w:r>
        <w:rPr>
          <w:w w:val="110"/>
        </w:rPr>
        <w:t>It may be useful to have red pens, green pens, highlighters, paper clips, Post-it Notes, pencils, erasers, pre-prepared organisational forms, a laptop and printer/scanner if you have access to one.</w:t>
      </w:r>
    </w:p>
    <w:p>
      <w:pPr>
        <w:pStyle w:val="BodyText"/>
        <w:spacing w:before="4"/>
        <w:rPr>
          <w:sz w:val="31"/>
        </w:rPr>
      </w:pPr>
    </w:p>
    <w:p>
      <w:pPr>
        <w:pStyle w:val="Heading3"/>
        <w:spacing w:before="1"/>
      </w:pPr>
      <w:r>
        <w:rPr/>
        <w:pict>
          <v:shape style="position:absolute;margin-left:96.720001pt;margin-top:21.186718pt;width:401.9pt;height:25.1pt;mso-position-horizontal-relative:page;mso-position-vertical-relative:paragraph;z-index:-448;mso-wrap-distance-left:0;mso-wrap-distance-right:0" type="#_x0000_t202" filled="true" fillcolor="#d8d8d8" stroked="true" strokeweight=".480011pt" strokecolor="#000000">
            <v:textbox inset="0,0,0,0">
              <w:txbxContent>
                <w:p>
                  <w:pPr>
                    <w:pStyle w:val="BodyText"/>
                    <w:spacing w:before="121"/>
                    <w:ind w:left="883"/>
                  </w:pPr>
                  <w:r>
                    <w:rPr>
                      <w:w w:val="115"/>
                    </w:rPr>
                    <w:t>DVC does NOT use the Grade Score Marking (GSM) system.</w:t>
                  </w:r>
                </w:p>
              </w:txbxContent>
            </v:textbox>
            <v:fill type="solid"/>
            <v:stroke dashstyle="solid"/>
            <w10:wrap type="topAndBottom"/>
          </v:shape>
        </w:pict>
      </w:r>
      <w:bookmarkStart w:name="_TOC_250010" w:id="38"/>
      <w:bookmarkEnd w:id="38"/>
      <w:r>
        <w:rPr>
          <w:w w:val="115"/>
        </w:rPr>
        <w:t>Profile of Expected Performance (PEP)</w:t>
      </w:r>
    </w:p>
    <w:p>
      <w:pPr>
        <w:pStyle w:val="BodyText"/>
        <w:spacing w:before="92"/>
        <w:ind w:left="392" w:right="769"/>
      </w:pPr>
      <w:r>
        <w:rPr>
          <w:w w:val="110"/>
        </w:rPr>
        <w:t>A Profile of Expected Performance (PEP) has been developed for each external standard. This profile of expected performances is based on past statistics, the professional expertise and advice of panel leaders and NZQA staff. The profiles give the upper and lower expected boundaries for Achievement, Merit and Excellence results for each standard expressed as a percentage. Profiles of expected performance provide a guide, not a</w:t>
      </w:r>
      <w:r>
        <w:rPr>
          <w:spacing w:val="5"/>
          <w:w w:val="110"/>
        </w:rPr>
        <w:t> </w:t>
      </w:r>
      <w:r>
        <w:rPr>
          <w:w w:val="110"/>
        </w:rPr>
        <w:t>target.</w:t>
      </w:r>
    </w:p>
    <w:p>
      <w:pPr>
        <w:pStyle w:val="BodyText"/>
        <w:spacing w:before="9"/>
        <w:rPr>
          <w:sz w:val="20"/>
        </w:rPr>
      </w:pPr>
    </w:p>
    <w:p>
      <w:pPr>
        <w:pStyle w:val="BodyText"/>
        <w:ind w:left="392"/>
      </w:pPr>
      <w:r>
        <w:rPr>
          <w:w w:val="105"/>
        </w:rPr>
        <w:t>All panel leaders will be given their relevant PEPs at the benchmarking meeting, if not earlier.</w:t>
      </w:r>
    </w:p>
    <w:p>
      <w:pPr>
        <w:pStyle w:val="BodyText"/>
        <w:rPr>
          <w:sz w:val="21"/>
        </w:rPr>
      </w:pPr>
    </w:p>
    <w:p>
      <w:pPr>
        <w:pStyle w:val="BodyText"/>
        <w:ind w:left="392" w:right="637"/>
      </w:pPr>
      <w:r>
        <w:rPr>
          <w:w w:val="110"/>
        </w:rPr>
        <w:t>The benchmarking process involves you and your senior marker(s) testing the assessment schedule</w:t>
      </w:r>
      <w:r>
        <w:rPr>
          <w:spacing w:val="-4"/>
          <w:w w:val="110"/>
        </w:rPr>
        <w:t> </w:t>
      </w:r>
      <w:r>
        <w:rPr>
          <w:w w:val="110"/>
        </w:rPr>
        <w:t>against a</w:t>
      </w:r>
      <w:r>
        <w:rPr>
          <w:spacing w:val="-4"/>
          <w:w w:val="110"/>
        </w:rPr>
        <w:t> </w:t>
      </w:r>
      <w:r>
        <w:rPr>
          <w:w w:val="110"/>
        </w:rPr>
        <w:t>sample</w:t>
      </w:r>
      <w:r>
        <w:rPr>
          <w:spacing w:val="-4"/>
          <w:w w:val="110"/>
        </w:rPr>
        <w:t> </w:t>
      </w:r>
      <w:r>
        <w:rPr>
          <w:w w:val="110"/>
        </w:rPr>
        <w:t>of portfolios.</w:t>
      </w:r>
      <w:r>
        <w:rPr>
          <w:spacing w:val="-2"/>
          <w:w w:val="110"/>
        </w:rPr>
        <w:t> </w:t>
      </w:r>
      <w:r>
        <w:rPr>
          <w:w w:val="110"/>
        </w:rPr>
        <w:t>This</w:t>
      </w:r>
      <w:r>
        <w:rPr>
          <w:spacing w:val="-5"/>
          <w:w w:val="110"/>
        </w:rPr>
        <w:t> </w:t>
      </w:r>
      <w:r>
        <w:rPr>
          <w:w w:val="110"/>
        </w:rPr>
        <w:t>sample</w:t>
      </w:r>
      <w:r>
        <w:rPr>
          <w:spacing w:val="-4"/>
          <w:w w:val="110"/>
        </w:rPr>
        <w:t> </w:t>
      </w:r>
      <w:r>
        <w:rPr>
          <w:w w:val="110"/>
        </w:rPr>
        <w:t>will</w:t>
      </w:r>
      <w:r>
        <w:rPr>
          <w:spacing w:val="-3"/>
          <w:w w:val="110"/>
        </w:rPr>
        <w:t> </w:t>
      </w:r>
      <w:r>
        <w:rPr>
          <w:w w:val="110"/>
        </w:rPr>
        <w:t>be</w:t>
      </w:r>
      <w:r>
        <w:rPr>
          <w:spacing w:val="-2"/>
          <w:w w:val="110"/>
        </w:rPr>
        <w:t> </w:t>
      </w:r>
      <w:r>
        <w:rPr>
          <w:w w:val="110"/>
        </w:rPr>
        <w:t>equivalent to</w:t>
      </w:r>
      <w:r>
        <w:rPr>
          <w:spacing w:val="-6"/>
          <w:w w:val="110"/>
        </w:rPr>
        <w:t> </w:t>
      </w:r>
      <w:r>
        <w:rPr>
          <w:w w:val="110"/>
        </w:rPr>
        <w:t>one</w:t>
      </w:r>
      <w:r>
        <w:rPr>
          <w:spacing w:val="-2"/>
          <w:w w:val="110"/>
        </w:rPr>
        <w:t> </w:t>
      </w:r>
      <w:r>
        <w:rPr>
          <w:w w:val="110"/>
        </w:rPr>
        <w:t>day’s</w:t>
      </w:r>
      <w:r>
        <w:rPr>
          <w:spacing w:val="-3"/>
          <w:w w:val="110"/>
        </w:rPr>
        <w:t> </w:t>
      </w:r>
      <w:r>
        <w:rPr>
          <w:w w:val="110"/>
        </w:rPr>
        <w:t>marking</w:t>
      </w:r>
      <w:r>
        <w:rPr>
          <w:spacing w:val="-3"/>
          <w:w w:val="110"/>
        </w:rPr>
        <w:t> </w:t>
      </w:r>
      <w:r>
        <w:rPr>
          <w:w w:val="110"/>
        </w:rPr>
        <w:t>(i.e.</w:t>
      </w:r>
      <w:r>
        <w:rPr>
          <w:spacing w:val="-3"/>
          <w:w w:val="110"/>
        </w:rPr>
        <w:t> </w:t>
      </w:r>
      <w:r>
        <w:rPr>
          <w:w w:val="110"/>
        </w:rPr>
        <w:t>a collective 8 hours). This testing is to ensure the schedule is likely to produce results that are consistent with the</w:t>
      </w:r>
      <w:r>
        <w:rPr>
          <w:spacing w:val="-1"/>
          <w:w w:val="110"/>
        </w:rPr>
        <w:t> </w:t>
      </w:r>
      <w:r>
        <w:rPr>
          <w:w w:val="110"/>
        </w:rPr>
        <w:t>PEP.</w:t>
      </w:r>
    </w:p>
    <w:p>
      <w:pPr>
        <w:pStyle w:val="BodyText"/>
        <w:spacing w:before="9"/>
        <w:rPr>
          <w:sz w:val="20"/>
        </w:rPr>
      </w:pPr>
    </w:p>
    <w:p>
      <w:pPr>
        <w:pStyle w:val="BodyText"/>
        <w:ind w:left="392"/>
      </w:pPr>
      <w:r>
        <w:rPr>
          <w:w w:val="105"/>
        </w:rPr>
        <w:t>Because of this, you are required to consult with your NAF to discuss your findings.</w:t>
      </w:r>
    </w:p>
    <w:p>
      <w:pPr>
        <w:spacing w:after="0"/>
        <w:sectPr>
          <w:footerReference w:type="default" r:id="rId35"/>
          <w:pgSz w:w="11910" w:h="16840"/>
          <w:pgMar w:footer="297" w:header="0" w:top="760" w:bottom="480" w:left="740" w:right="580"/>
          <w:pgNumType w:start="30"/>
        </w:sectPr>
      </w:pPr>
    </w:p>
    <w:p>
      <w:pPr>
        <w:pStyle w:val="Heading3"/>
        <w:spacing w:before="75"/>
      </w:pPr>
      <w:bookmarkStart w:name="_TOC_250009" w:id="39"/>
      <w:bookmarkEnd w:id="39"/>
      <w:r>
        <w:rPr>
          <w:w w:val="120"/>
        </w:rPr>
        <w:t>Test marking</w:t>
      </w:r>
    </w:p>
    <w:p>
      <w:pPr>
        <w:pStyle w:val="BodyText"/>
        <w:spacing w:before="238"/>
        <w:ind w:left="392" w:right="619"/>
      </w:pPr>
      <w:r>
        <w:rPr>
          <w:w w:val="110"/>
        </w:rPr>
        <w:t>At the bench marking meeting and in the week that follows, senior markers should mark as many portfolios as possible. At least 10 portfolios per senior marker should be marked and submitted for check-marking before the Panel meeting.</w:t>
      </w:r>
    </w:p>
    <w:p>
      <w:pPr>
        <w:pStyle w:val="BodyText"/>
        <w:spacing w:before="9"/>
        <w:rPr>
          <w:sz w:val="20"/>
        </w:rPr>
      </w:pPr>
    </w:p>
    <w:p>
      <w:pPr>
        <w:pStyle w:val="BodyText"/>
        <w:ind w:left="392"/>
      </w:pPr>
      <w:r>
        <w:rPr>
          <w:w w:val="110"/>
        </w:rPr>
        <w:t>Portfolios should be marked from bags selected randomly from their received allocation.</w:t>
      </w:r>
    </w:p>
    <w:p>
      <w:pPr>
        <w:pStyle w:val="BodyText"/>
        <w:rPr>
          <w:sz w:val="21"/>
        </w:rPr>
      </w:pPr>
    </w:p>
    <w:p>
      <w:pPr>
        <w:pStyle w:val="BodyText"/>
        <w:ind w:left="392" w:right="789"/>
      </w:pPr>
      <w:r>
        <w:rPr>
          <w:w w:val="110"/>
        </w:rPr>
        <w:t>Data from the test marking should be entered initially, daily, so the Spread of Performance (SoP) can be established. No marker should double enter result data, until permission is given by the panel leader or NAF.</w:t>
      </w:r>
    </w:p>
    <w:p>
      <w:pPr>
        <w:pStyle w:val="BodyText"/>
        <w:spacing w:before="4"/>
        <w:rPr>
          <w:sz w:val="31"/>
        </w:rPr>
      </w:pPr>
    </w:p>
    <w:p>
      <w:pPr>
        <w:pStyle w:val="Heading3"/>
      </w:pPr>
      <w:bookmarkStart w:name="_TOC_250008" w:id="40"/>
      <w:bookmarkEnd w:id="40"/>
      <w:r>
        <w:rPr>
          <w:w w:val="115"/>
        </w:rPr>
        <w:t>The Panel Meeting</w:t>
      </w:r>
    </w:p>
    <w:p>
      <w:pPr>
        <w:pStyle w:val="BodyText"/>
        <w:spacing w:before="120"/>
        <w:ind w:left="392" w:right="769"/>
      </w:pPr>
      <w:r>
        <w:rPr>
          <w:w w:val="110"/>
        </w:rPr>
        <w:t>The aim of the panel meeting is to set the standard, emphasise that marking must take place through ‘a single pair of eyes’ and to confirm administration arrangements.</w:t>
      </w:r>
    </w:p>
    <w:p>
      <w:pPr>
        <w:pStyle w:val="BodyText"/>
        <w:spacing w:before="8"/>
        <w:rPr>
          <w:sz w:val="20"/>
        </w:rPr>
      </w:pPr>
    </w:p>
    <w:p>
      <w:pPr>
        <w:pStyle w:val="BodyText"/>
        <w:ind w:left="392"/>
      </w:pPr>
      <w:r>
        <w:rPr>
          <w:w w:val="110"/>
        </w:rPr>
        <w:t>The panel leader/senior marker run the panel meeting.</w:t>
      </w:r>
    </w:p>
    <w:p>
      <w:pPr>
        <w:pStyle w:val="BodyText"/>
        <w:rPr>
          <w:sz w:val="21"/>
        </w:rPr>
      </w:pPr>
    </w:p>
    <w:p>
      <w:pPr>
        <w:pStyle w:val="BodyText"/>
        <w:ind w:left="392"/>
      </w:pPr>
      <w:r>
        <w:rPr>
          <w:w w:val="120"/>
        </w:rPr>
        <w:t>Agenda for the Panel Meeting:</w:t>
      </w:r>
    </w:p>
    <w:p>
      <w:pPr>
        <w:pStyle w:val="ListParagraph"/>
        <w:numPr>
          <w:ilvl w:val="0"/>
          <w:numId w:val="8"/>
        </w:numPr>
        <w:tabs>
          <w:tab w:pos="1101" w:val="left" w:leader="none"/>
          <w:tab w:pos="1102" w:val="left" w:leader="none"/>
        </w:tabs>
        <w:spacing w:line="240" w:lineRule="auto" w:before="119" w:after="0"/>
        <w:ind w:left="1101" w:right="0" w:hanging="709"/>
        <w:jc w:val="left"/>
        <w:rPr>
          <w:sz w:val="22"/>
        </w:rPr>
      </w:pPr>
      <w:r>
        <w:rPr>
          <w:w w:val="120"/>
          <w:sz w:val="22"/>
        </w:rPr>
        <w:t>Welcome and</w:t>
      </w:r>
      <w:r>
        <w:rPr>
          <w:spacing w:val="-12"/>
          <w:w w:val="120"/>
          <w:sz w:val="22"/>
        </w:rPr>
        <w:t> </w:t>
      </w:r>
      <w:r>
        <w:rPr>
          <w:w w:val="120"/>
          <w:sz w:val="22"/>
        </w:rPr>
        <w:t>introduction</w:t>
      </w:r>
    </w:p>
    <w:p>
      <w:pPr>
        <w:pStyle w:val="BodyText"/>
        <w:spacing w:before="122"/>
        <w:ind w:left="392" w:right="769"/>
      </w:pPr>
      <w:r>
        <w:rPr>
          <w:w w:val="110"/>
        </w:rPr>
        <w:t>Welcome and thank markers for joining the panel. Provide each marker with copies of the assessment schedule, a copy of the Panel marking timeline, GPs for assessment/discussion at the meeting and panel leader/senior marker contact information.</w:t>
      </w:r>
    </w:p>
    <w:p>
      <w:pPr>
        <w:pStyle w:val="BodyText"/>
        <w:spacing w:before="9"/>
        <w:rPr>
          <w:sz w:val="20"/>
        </w:rPr>
      </w:pPr>
    </w:p>
    <w:p>
      <w:pPr>
        <w:pStyle w:val="ListParagraph"/>
        <w:numPr>
          <w:ilvl w:val="0"/>
          <w:numId w:val="8"/>
        </w:numPr>
        <w:tabs>
          <w:tab w:pos="1101" w:val="left" w:leader="none"/>
          <w:tab w:pos="1102" w:val="left" w:leader="none"/>
        </w:tabs>
        <w:spacing w:line="240" w:lineRule="auto" w:before="0" w:after="0"/>
        <w:ind w:left="1101" w:right="0" w:hanging="709"/>
        <w:jc w:val="left"/>
        <w:rPr>
          <w:sz w:val="22"/>
        </w:rPr>
      </w:pPr>
      <w:r>
        <w:rPr>
          <w:w w:val="120"/>
          <w:sz w:val="22"/>
        </w:rPr>
        <w:t>The role of the</w:t>
      </w:r>
      <w:r>
        <w:rPr>
          <w:spacing w:val="-25"/>
          <w:w w:val="120"/>
          <w:sz w:val="22"/>
        </w:rPr>
        <w:t> </w:t>
      </w:r>
      <w:r>
        <w:rPr>
          <w:w w:val="120"/>
          <w:sz w:val="22"/>
        </w:rPr>
        <w:t>marker</w:t>
      </w:r>
    </w:p>
    <w:p>
      <w:pPr>
        <w:pStyle w:val="BodyText"/>
        <w:spacing w:before="119"/>
        <w:ind w:left="392" w:right="1489"/>
      </w:pPr>
      <w:r>
        <w:rPr>
          <w:w w:val="105"/>
        </w:rPr>
        <w:t>Outline the purpose of the meeting. Explain that all comments or discussions will be directed through you.</w:t>
      </w:r>
    </w:p>
    <w:p>
      <w:pPr>
        <w:pStyle w:val="BodyText"/>
        <w:spacing w:before="11"/>
        <w:rPr>
          <w:sz w:val="20"/>
        </w:rPr>
      </w:pPr>
    </w:p>
    <w:p>
      <w:pPr>
        <w:pStyle w:val="BodyText"/>
        <w:ind w:left="392" w:right="674"/>
      </w:pPr>
      <w:r>
        <w:rPr>
          <w:w w:val="110"/>
        </w:rPr>
        <w:t>Stress the principle of assessment through a </w:t>
      </w:r>
      <w:r>
        <w:rPr>
          <w:color w:val="FF0000"/>
          <w:w w:val="110"/>
        </w:rPr>
        <w:t>“single pair of eyes” </w:t>
      </w:r>
      <w:r>
        <w:rPr>
          <w:w w:val="110"/>
        </w:rPr>
        <w:t>(those of the panel leader) to achieve “between-marker consistency”. Explain that candidates should be neither advantaged nor disadvantaged by the marker they have been allocated.</w:t>
      </w:r>
    </w:p>
    <w:p>
      <w:pPr>
        <w:pStyle w:val="BodyText"/>
        <w:spacing w:before="9"/>
        <w:rPr>
          <w:sz w:val="20"/>
        </w:rPr>
      </w:pPr>
    </w:p>
    <w:p>
      <w:pPr>
        <w:pStyle w:val="BodyText"/>
        <w:ind w:left="392"/>
      </w:pPr>
      <w:r>
        <w:rPr>
          <w:w w:val="105"/>
        </w:rPr>
        <w:t>Emphasise to markers that all work is confidential.</w:t>
      </w:r>
    </w:p>
    <w:p>
      <w:pPr>
        <w:pStyle w:val="BodyText"/>
        <w:rPr>
          <w:sz w:val="21"/>
        </w:rPr>
      </w:pPr>
    </w:p>
    <w:p>
      <w:pPr>
        <w:pStyle w:val="BodyText"/>
        <w:ind w:left="392" w:right="1118"/>
      </w:pPr>
      <w:r>
        <w:rPr>
          <w:w w:val="110"/>
        </w:rPr>
        <w:t>Explain that markers may have to modify some of their personal expectations and opinions to assess according to the assessment schedule and ensure consistency throughout the panel.</w:t>
      </w:r>
    </w:p>
    <w:p>
      <w:pPr>
        <w:pStyle w:val="BodyText"/>
        <w:spacing w:before="10"/>
        <w:rPr>
          <w:sz w:val="20"/>
        </w:rPr>
      </w:pPr>
    </w:p>
    <w:p>
      <w:pPr>
        <w:pStyle w:val="BodyText"/>
        <w:spacing w:before="1"/>
        <w:ind w:left="392"/>
      </w:pPr>
      <w:r>
        <w:rPr>
          <w:w w:val="110"/>
        </w:rPr>
        <w:t>"Markers can have their say, but they may not necessarily have their way".</w:t>
      </w:r>
    </w:p>
    <w:p>
      <w:pPr>
        <w:pStyle w:val="BodyText"/>
        <w:spacing w:before="9"/>
        <w:rPr>
          <w:sz w:val="20"/>
        </w:rPr>
      </w:pPr>
    </w:p>
    <w:p>
      <w:pPr>
        <w:pStyle w:val="BodyText"/>
        <w:ind w:left="392"/>
      </w:pPr>
      <w:r>
        <w:rPr/>
        <w:pict>
          <v:shape style="position:absolute;margin-left:56.880001pt;margin-top:18.789537pt;width:481.45pt;height:47.05pt;mso-position-horizontal-relative:page;mso-position-vertical-relative:paragraph;z-index:-424;mso-wrap-distance-left:0;mso-wrap-distance-right:0" type="#_x0000_t202" filled="true" fillcolor="#00afef" stroked="true" strokeweight=".480011pt" strokecolor="#000000">
            <v:textbox inset="0,0,0,0">
              <w:txbxContent>
                <w:p>
                  <w:pPr>
                    <w:spacing w:before="120"/>
                    <w:ind w:left="355" w:right="349" w:firstLine="0"/>
                    <w:jc w:val="center"/>
                    <w:rPr>
                      <w:sz w:val="20"/>
                    </w:rPr>
                  </w:pPr>
                  <w:r>
                    <w:rPr>
                      <w:w w:val="120"/>
                      <w:sz w:val="20"/>
                    </w:rPr>
                    <w:t>The panel leader is responsible for ensuring that they and their markers maintain consistency during their marking, as well as confidentiality and security with all assessment material and assessment information.</w:t>
                  </w:r>
                </w:p>
              </w:txbxContent>
            </v:textbox>
            <v:fill type="solid"/>
            <v:stroke dashstyle="solid"/>
            <w10:wrap type="topAndBottom"/>
          </v:shape>
        </w:pict>
      </w:r>
      <w:r>
        <w:rPr>
          <w:w w:val="110"/>
        </w:rPr>
        <w:t>Remember: Markers are assessing at a national level, not at the classroom level.</w:t>
      </w:r>
    </w:p>
    <w:p>
      <w:pPr>
        <w:pStyle w:val="BodyText"/>
        <w:spacing w:before="5"/>
        <w:rPr>
          <w:sz w:val="10"/>
        </w:rPr>
      </w:pPr>
    </w:p>
    <w:p>
      <w:pPr>
        <w:pStyle w:val="ListParagraph"/>
        <w:numPr>
          <w:ilvl w:val="0"/>
          <w:numId w:val="8"/>
        </w:numPr>
        <w:tabs>
          <w:tab w:pos="1101" w:val="left" w:leader="none"/>
          <w:tab w:pos="1102" w:val="left" w:leader="none"/>
        </w:tabs>
        <w:spacing w:line="240" w:lineRule="auto" w:before="92" w:after="0"/>
        <w:ind w:left="1101" w:right="0" w:hanging="709"/>
        <w:jc w:val="left"/>
        <w:rPr>
          <w:sz w:val="22"/>
        </w:rPr>
      </w:pPr>
      <w:r>
        <w:rPr>
          <w:w w:val="120"/>
          <w:sz w:val="22"/>
        </w:rPr>
        <w:t>Instructions and procedures for</w:t>
      </w:r>
      <w:r>
        <w:rPr>
          <w:spacing w:val="-22"/>
          <w:w w:val="120"/>
          <w:sz w:val="22"/>
        </w:rPr>
        <w:t> </w:t>
      </w:r>
      <w:r>
        <w:rPr>
          <w:w w:val="120"/>
          <w:sz w:val="22"/>
        </w:rPr>
        <w:t>Markers</w:t>
      </w:r>
    </w:p>
    <w:p>
      <w:pPr>
        <w:pStyle w:val="BodyText"/>
        <w:spacing w:before="121"/>
        <w:ind w:left="392" w:right="674"/>
      </w:pPr>
      <w:r>
        <w:rPr>
          <w:w w:val="110"/>
        </w:rPr>
        <w:t>Give clear instructions on the conventions that are to be followed in assessment. There MUST be consistency between markers, bearing in mind that all candidates can obtain their portfolio from their school and a certain amount of comparison is inevitable.</w:t>
      </w:r>
    </w:p>
    <w:p>
      <w:pPr>
        <w:pStyle w:val="BodyText"/>
        <w:spacing w:before="119"/>
        <w:ind w:left="392"/>
      </w:pPr>
      <w:r>
        <w:rPr>
          <w:w w:val="110"/>
        </w:rPr>
        <w:t>Stress the importance of following both general and achievement standard-specific instructions.</w:t>
      </w:r>
    </w:p>
    <w:p>
      <w:pPr>
        <w:pStyle w:val="BodyText"/>
        <w:spacing w:before="119"/>
        <w:ind w:left="392" w:right="769"/>
      </w:pPr>
      <w:r>
        <w:rPr>
          <w:w w:val="110"/>
        </w:rPr>
        <w:t>See Appendix I for a sample Assessment Schedule which shows some of the conventions of marking.</w:t>
      </w:r>
    </w:p>
    <w:p>
      <w:pPr>
        <w:spacing w:after="0"/>
        <w:sectPr>
          <w:pgSz w:w="11910" w:h="16840"/>
          <w:pgMar w:header="0" w:footer="297" w:top="760" w:bottom="480" w:left="740" w:right="580"/>
        </w:sectPr>
      </w:pPr>
    </w:p>
    <w:p>
      <w:pPr>
        <w:pStyle w:val="BodyText"/>
        <w:spacing w:line="352" w:lineRule="auto" w:before="74"/>
        <w:ind w:left="392" w:right="7765"/>
      </w:pPr>
      <w:r>
        <w:rPr>
          <w:w w:val="120"/>
        </w:rPr>
        <w:t>Using the Guide Notes Ask markers to:</w:t>
      </w:r>
    </w:p>
    <w:p>
      <w:pPr>
        <w:pStyle w:val="ListParagraph"/>
        <w:numPr>
          <w:ilvl w:val="0"/>
          <w:numId w:val="2"/>
        </w:numPr>
        <w:tabs>
          <w:tab w:pos="749" w:val="left" w:leader="none"/>
          <w:tab w:pos="750" w:val="left" w:leader="none"/>
        </w:tabs>
        <w:spacing w:line="210" w:lineRule="exact" w:before="0" w:after="0"/>
        <w:ind w:left="749" w:right="0" w:hanging="357"/>
        <w:jc w:val="left"/>
        <w:rPr>
          <w:sz w:val="22"/>
        </w:rPr>
      </w:pPr>
      <w:r>
        <w:rPr>
          <w:sz w:val="22"/>
        </w:rPr>
        <w:t>fill in the marking panel Contact</w:t>
      </w:r>
      <w:r>
        <w:rPr>
          <w:spacing w:val="42"/>
          <w:sz w:val="22"/>
        </w:rPr>
        <w:t> </w:t>
      </w:r>
      <w:r>
        <w:rPr>
          <w:sz w:val="22"/>
        </w:rPr>
        <w:t>Information</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w w:val="110"/>
          <w:sz w:val="22"/>
        </w:rPr>
        <w:t>confirm all addresses, telephone, including cell phone numbers and email</w:t>
      </w:r>
      <w:r>
        <w:rPr>
          <w:spacing w:val="36"/>
          <w:w w:val="110"/>
          <w:sz w:val="22"/>
        </w:rPr>
        <w:t> </w:t>
      </w:r>
      <w:r>
        <w:rPr>
          <w:w w:val="110"/>
          <w:sz w:val="22"/>
        </w:rPr>
        <w:t>addresses</w:t>
      </w:r>
    </w:p>
    <w:p>
      <w:pPr>
        <w:pStyle w:val="ListParagraph"/>
        <w:numPr>
          <w:ilvl w:val="0"/>
          <w:numId w:val="2"/>
        </w:numPr>
        <w:tabs>
          <w:tab w:pos="749" w:val="left" w:leader="none"/>
          <w:tab w:pos="750" w:val="left" w:leader="none"/>
        </w:tabs>
        <w:spacing w:line="240" w:lineRule="auto" w:before="74" w:after="0"/>
        <w:ind w:left="749" w:right="0" w:hanging="357"/>
        <w:jc w:val="left"/>
        <w:rPr>
          <w:sz w:val="22"/>
        </w:rPr>
      </w:pPr>
      <w:r>
        <w:rPr>
          <w:w w:val="105"/>
          <w:sz w:val="22"/>
        </w:rPr>
        <w:t>identify when it is best to phone for feedback from check</w:t>
      </w:r>
      <w:r>
        <w:rPr>
          <w:spacing w:val="2"/>
          <w:w w:val="105"/>
          <w:sz w:val="22"/>
        </w:rPr>
        <w:t> </w:t>
      </w:r>
      <w:r>
        <w:rPr>
          <w:w w:val="105"/>
          <w:sz w:val="22"/>
        </w:rPr>
        <w:t>marking</w:t>
      </w:r>
    </w:p>
    <w:p>
      <w:pPr>
        <w:pStyle w:val="ListParagraph"/>
        <w:numPr>
          <w:ilvl w:val="0"/>
          <w:numId w:val="2"/>
        </w:numPr>
        <w:tabs>
          <w:tab w:pos="749" w:val="left" w:leader="none"/>
          <w:tab w:pos="750" w:val="left" w:leader="none"/>
        </w:tabs>
        <w:spacing w:line="240" w:lineRule="auto" w:before="75" w:after="0"/>
        <w:ind w:left="749" w:right="0" w:hanging="357"/>
        <w:jc w:val="left"/>
        <w:rPr>
          <w:sz w:val="22"/>
        </w:rPr>
      </w:pPr>
      <w:r>
        <w:rPr>
          <w:w w:val="110"/>
          <w:sz w:val="22"/>
        </w:rPr>
        <w:t>only use </w:t>
      </w:r>
      <w:r>
        <w:rPr>
          <w:color w:val="00AFEF"/>
          <w:w w:val="110"/>
          <w:sz w:val="22"/>
        </w:rPr>
        <w:t>blue </w:t>
      </w:r>
      <w:r>
        <w:rPr>
          <w:w w:val="110"/>
          <w:sz w:val="22"/>
        </w:rPr>
        <w:t>courier bags to send and receive check</w:t>
      </w:r>
      <w:r>
        <w:rPr>
          <w:spacing w:val="16"/>
          <w:w w:val="110"/>
          <w:sz w:val="22"/>
        </w:rPr>
        <w:t> </w:t>
      </w:r>
      <w:r>
        <w:rPr>
          <w:w w:val="110"/>
          <w:sz w:val="22"/>
        </w:rPr>
        <w:t>marking</w:t>
      </w:r>
    </w:p>
    <w:p>
      <w:pPr>
        <w:pStyle w:val="ListParagraph"/>
        <w:numPr>
          <w:ilvl w:val="0"/>
          <w:numId w:val="2"/>
        </w:numPr>
        <w:tabs>
          <w:tab w:pos="749" w:val="left" w:leader="none"/>
          <w:tab w:pos="750" w:val="left" w:leader="none"/>
        </w:tabs>
        <w:spacing w:line="240" w:lineRule="auto" w:before="74" w:after="0"/>
        <w:ind w:left="750" w:right="829" w:hanging="358"/>
        <w:jc w:val="left"/>
        <w:rPr>
          <w:sz w:val="22"/>
        </w:rPr>
      </w:pPr>
      <w:r>
        <w:rPr>
          <w:w w:val="110"/>
          <w:sz w:val="22"/>
        </w:rPr>
        <w:t>leave at least four </w:t>
      </w:r>
      <w:r>
        <w:rPr>
          <w:color w:val="00AFEF"/>
          <w:w w:val="110"/>
          <w:sz w:val="22"/>
        </w:rPr>
        <w:t>blue </w:t>
      </w:r>
      <w:r>
        <w:rPr>
          <w:w w:val="110"/>
          <w:sz w:val="22"/>
        </w:rPr>
        <w:t>courier bags with the senior marker so they can return check marked portfolios to you. The check marker will be provided with printed address stickers to</w:t>
      </w:r>
      <w:r>
        <w:rPr>
          <w:spacing w:val="-2"/>
          <w:w w:val="110"/>
          <w:sz w:val="22"/>
        </w:rPr>
        <w:t> </w:t>
      </w:r>
      <w:r>
        <w:rPr>
          <w:w w:val="110"/>
          <w:sz w:val="22"/>
        </w:rPr>
        <w:t>use.</w:t>
      </w:r>
    </w:p>
    <w:p>
      <w:pPr>
        <w:pStyle w:val="BodyText"/>
        <w:rPr>
          <w:sz w:val="24"/>
        </w:rPr>
      </w:pPr>
    </w:p>
    <w:p>
      <w:pPr>
        <w:pStyle w:val="BodyText"/>
        <w:ind w:left="392"/>
      </w:pPr>
      <w:r>
        <w:rPr>
          <w:w w:val="120"/>
        </w:rPr>
        <w:t>Ensure markers have:</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w w:val="110"/>
          <w:sz w:val="22"/>
        </w:rPr>
        <w:t>a marking</w:t>
      </w:r>
      <w:r>
        <w:rPr>
          <w:spacing w:val="-2"/>
          <w:w w:val="110"/>
          <w:sz w:val="22"/>
        </w:rPr>
        <w:t> </w:t>
      </w:r>
      <w:r>
        <w:rPr>
          <w:w w:val="110"/>
          <w:sz w:val="22"/>
        </w:rPr>
        <w:t>timeline</w:t>
      </w:r>
    </w:p>
    <w:p>
      <w:pPr>
        <w:pStyle w:val="ListParagraph"/>
        <w:numPr>
          <w:ilvl w:val="0"/>
          <w:numId w:val="2"/>
        </w:numPr>
        <w:tabs>
          <w:tab w:pos="749" w:val="left" w:leader="none"/>
          <w:tab w:pos="750" w:val="left" w:leader="none"/>
        </w:tabs>
        <w:spacing w:line="240" w:lineRule="auto" w:before="74" w:after="0"/>
        <w:ind w:left="749" w:right="0" w:hanging="357"/>
        <w:jc w:val="left"/>
        <w:rPr>
          <w:sz w:val="22"/>
        </w:rPr>
      </w:pPr>
      <w:r>
        <w:rPr>
          <w:w w:val="110"/>
          <w:sz w:val="22"/>
        </w:rPr>
        <w:t>an identified start page, to ensure that portfolios from across the country are marked</w:t>
      </w:r>
      <w:r>
        <w:rPr>
          <w:spacing w:val="10"/>
          <w:w w:val="110"/>
          <w:sz w:val="22"/>
        </w:rPr>
        <w:t> </w:t>
      </w:r>
      <w:r>
        <w:rPr>
          <w:w w:val="110"/>
          <w:sz w:val="22"/>
        </w:rPr>
        <w:t>early.</w:t>
      </w:r>
    </w:p>
    <w:p>
      <w:pPr>
        <w:pStyle w:val="BodyText"/>
        <w:spacing w:before="10"/>
        <w:rPr>
          <w:sz w:val="23"/>
        </w:rPr>
      </w:pPr>
    </w:p>
    <w:p>
      <w:pPr>
        <w:pStyle w:val="BodyText"/>
        <w:ind w:left="392"/>
      </w:pPr>
      <w:r>
        <w:rPr>
          <w:w w:val="115"/>
        </w:rPr>
        <w:t>Review Marking Materials:</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w w:val="110"/>
          <w:sz w:val="22"/>
        </w:rPr>
        <w:t>inform markers of what they should have received.</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w w:val="110"/>
          <w:sz w:val="22"/>
        </w:rPr>
        <w:t>instruct markers to contact the marker helpline 0800 222 230 if materials are</w:t>
      </w:r>
      <w:r>
        <w:rPr>
          <w:spacing w:val="-7"/>
          <w:w w:val="110"/>
          <w:sz w:val="22"/>
        </w:rPr>
        <w:t> </w:t>
      </w:r>
      <w:r>
        <w:rPr>
          <w:w w:val="110"/>
          <w:sz w:val="22"/>
        </w:rPr>
        <w:t>missing.</w:t>
      </w:r>
    </w:p>
    <w:p>
      <w:pPr>
        <w:pStyle w:val="BodyText"/>
        <w:spacing w:before="9"/>
        <w:rPr>
          <w:sz w:val="21"/>
        </w:rPr>
      </w:pPr>
    </w:p>
    <w:p>
      <w:pPr>
        <w:pStyle w:val="BodyText"/>
        <w:ind w:left="392"/>
      </w:pPr>
      <w:r>
        <w:rPr>
          <w:w w:val="125"/>
        </w:rPr>
        <w:t>Ensure Markers understand the following sections:</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w w:val="105"/>
          <w:sz w:val="22"/>
        </w:rPr>
        <w:t>Receiving</w:t>
      </w:r>
      <w:r>
        <w:rPr>
          <w:spacing w:val="24"/>
          <w:w w:val="105"/>
          <w:sz w:val="22"/>
        </w:rPr>
        <w:t> </w:t>
      </w:r>
      <w:r>
        <w:rPr>
          <w:w w:val="105"/>
          <w:sz w:val="22"/>
        </w:rPr>
        <w:t>portfolios</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sz w:val="22"/>
        </w:rPr>
        <w:t>Marking  Practices </w:t>
      </w:r>
      <w:r>
        <w:rPr>
          <w:spacing w:val="9"/>
          <w:sz w:val="22"/>
        </w:rPr>
        <w:t> </w:t>
      </w:r>
      <w:r>
        <w:rPr>
          <w:sz w:val="22"/>
        </w:rPr>
        <w:t>*</w:t>
      </w:r>
    </w:p>
    <w:p>
      <w:pPr>
        <w:pStyle w:val="ListParagraph"/>
        <w:numPr>
          <w:ilvl w:val="0"/>
          <w:numId w:val="2"/>
        </w:numPr>
        <w:tabs>
          <w:tab w:pos="749" w:val="left" w:leader="none"/>
          <w:tab w:pos="750" w:val="left" w:leader="none"/>
        </w:tabs>
        <w:spacing w:line="240" w:lineRule="auto" w:before="73" w:after="0"/>
        <w:ind w:left="749" w:right="0" w:hanging="357"/>
        <w:jc w:val="left"/>
        <w:rPr>
          <w:sz w:val="22"/>
        </w:rPr>
      </w:pPr>
      <w:r>
        <w:rPr>
          <w:w w:val="105"/>
          <w:sz w:val="22"/>
        </w:rPr>
        <w:t>Assessment Decisions</w:t>
      </w:r>
      <w:r>
        <w:rPr>
          <w:spacing w:val="9"/>
          <w:w w:val="105"/>
          <w:sz w:val="22"/>
        </w:rPr>
        <w:t> </w:t>
      </w:r>
      <w:r>
        <w:rPr>
          <w:w w:val="105"/>
          <w:sz w:val="22"/>
        </w:rPr>
        <w:t>*</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sz w:val="22"/>
        </w:rPr>
        <w:t>Portfolio Management</w:t>
      </w:r>
      <w:r>
        <w:rPr>
          <w:spacing w:val="12"/>
          <w:sz w:val="22"/>
        </w:rPr>
        <w:t> </w:t>
      </w:r>
      <w:r>
        <w:rPr>
          <w:sz w:val="22"/>
        </w:rPr>
        <w:t>*</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w w:val="105"/>
          <w:sz w:val="22"/>
        </w:rPr>
        <w:t>Pick up of</w:t>
      </w:r>
      <w:r>
        <w:rPr>
          <w:spacing w:val="12"/>
          <w:w w:val="105"/>
          <w:sz w:val="22"/>
        </w:rPr>
        <w:t> </w:t>
      </w:r>
      <w:r>
        <w:rPr>
          <w:w w:val="105"/>
          <w:sz w:val="22"/>
        </w:rPr>
        <w:t>Portfolios</w:t>
      </w:r>
    </w:p>
    <w:p>
      <w:pPr>
        <w:pStyle w:val="ListParagraph"/>
        <w:numPr>
          <w:ilvl w:val="0"/>
          <w:numId w:val="2"/>
        </w:numPr>
        <w:tabs>
          <w:tab w:pos="749" w:val="left" w:leader="none"/>
          <w:tab w:pos="750" w:val="left" w:leader="none"/>
        </w:tabs>
        <w:spacing w:line="240" w:lineRule="auto" w:before="73" w:after="0"/>
        <w:ind w:left="749" w:right="0" w:hanging="357"/>
        <w:jc w:val="left"/>
        <w:rPr>
          <w:sz w:val="22"/>
        </w:rPr>
      </w:pPr>
      <w:r>
        <w:rPr>
          <w:w w:val="110"/>
          <w:sz w:val="22"/>
        </w:rPr>
        <w:t>Check Marking</w:t>
      </w:r>
    </w:p>
    <w:p>
      <w:pPr>
        <w:pStyle w:val="ListParagraph"/>
        <w:numPr>
          <w:ilvl w:val="0"/>
          <w:numId w:val="2"/>
        </w:numPr>
        <w:tabs>
          <w:tab w:pos="749" w:val="left" w:leader="none"/>
          <w:tab w:pos="750" w:val="left" w:leader="none"/>
        </w:tabs>
        <w:spacing w:line="240" w:lineRule="auto" w:before="76" w:after="0"/>
        <w:ind w:left="749" w:right="0" w:hanging="357"/>
        <w:jc w:val="left"/>
        <w:rPr>
          <w:sz w:val="22"/>
        </w:rPr>
      </w:pPr>
      <w:r>
        <w:rPr>
          <w:w w:val="105"/>
          <w:sz w:val="22"/>
        </w:rPr>
        <w:t>Entering NCEA</w:t>
      </w:r>
      <w:r>
        <w:rPr>
          <w:spacing w:val="9"/>
          <w:w w:val="105"/>
          <w:sz w:val="22"/>
        </w:rPr>
        <w:t> </w:t>
      </w:r>
      <w:r>
        <w:rPr>
          <w:w w:val="105"/>
          <w:sz w:val="22"/>
        </w:rPr>
        <w:t>Results</w:t>
      </w:r>
    </w:p>
    <w:p>
      <w:pPr>
        <w:pStyle w:val="ListParagraph"/>
        <w:numPr>
          <w:ilvl w:val="0"/>
          <w:numId w:val="2"/>
        </w:numPr>
        <w:tabs>
          <w:tab w:pos="749" w:val="left" w:leader="none"/>
          <w:tab w:pos="750" w:val="left" w:leader="none"/>
        </w:tabs>
        <w:spacing w:line="240" w:lineRule="auto" w:before="74" w:after="0"/>
        <w:ind w:left="749" w:right="0" w:hanging="357"/>
        <w:jc w:val="left"/>
        <w:rPr>
          <w:sz w:val="22"/>
        </w:rPr>
      </w:pPr>
      <w:r>
        <w:rPr>
          <w:w w:val="105"/>
          <w:sz w:val="22"/>
        </w:rPr>
        <w:t>Marker’s</w:t>
      </w:r>
      <w:r>
        <w:rPr>
          <w:spacing w:val="3"/>
          <w:w w:val="105"/>
          <w:sz w:val="22"/>
        </w:rPr>
        <w:t> </w:t>
      </w:r>
      <w:r>
        <w:rPr>
          <w:w w:val="105"/>
          <w:sz w:val="22"/>
        </w:rPr>
        <w:t>Report</w:t>
      </w:r>
    </w:p>
    <w:p>
      <w:pPr>
        <w:pStyle w:val="ListParagraph"/>
        <w:numPr>
          <w:ilvl w:val="0"/>
          <w:numId w:val="2"/>
        </w:numPr>
        <w:tabs>
          <w:tab w:pos="749" w:val="left" w:leader="none"/>
          <w:tab w:pos="750" w:val="left" w:leader="none"/>
        </w:tabs>
        <w:spacing w:line="240" w:lineRule="auto" w:before="135" w:after="0"/>
        <w:ind w:left="749" w:right="0" w:hanging="357"/>
        <w:jc w:val="left"/>
        <w:rPr>
          <w:sz w:val="22"/>
        </w:rPr>
      </w:pPr>
      <w:r>
        <w:rPr>
          <w:w w:val="105"/>
          <w:sz w:val="22"/>
        </w:rPr>
        <w:t>Marker</w:t>
      </w:r>
      <w:r>
        <w:rPr>
          <w:spacing w:val="4"/>
          <w:w w:val="105"/>
          <w:sz w:val="22"/>
        </w:rPr>
        <w:t> </w:t>
      </w:r>
      <w:r>
        <w:rPr>
          <w:w w:val="105"/>
          <w:sz w:val="22"/>
        </w:rPr>
        <w:t>Claims.</w:t>
      </w:r>
    </w:p>
    <w:p>
      <w:pPr>
        <w:pStyle w:val="BodyText"/>
        <w:rPr>
          <w:sz w:val="24"/>
        </w:rPr>
      </w:pPr>
    </w:p>
    <w:p>
      <w:pPr>
        <w:pStyle w:val="BodyText"/>
        <w:spacing w:before="2"/>
        <w:rPr>
          <w:sz w:val="29"/>
        </w:rPr>
      </w:pPr>
    </w:p>
    <w:p>
      <w:pPr>
        <w:pStyle w:val="ListParagraph"/>
        <w:numPr>
          <w:ilvl w:val="0"/>
          <w:numId w:val="8"/>
        </w:numPr>
        <w:tabs>
          <w:tab w:pos="1101" w:val="left" w:leader="none"/>
          <w:tab w:pos="1102" w:val="left" w:leader="none"/>
        </w:tabs>
        <w:spacing w:line="240" w:lineRule="auto" w:before="0" w:after="0"/>
        <w:ind w:left="1101" w:right="0" w:hanging="709"/>
        <w:jc w:val="left"/>
        <w:rPr>
          <w:sz w:val="22"/>
        </w:rPr>
      </w:pPr>
      <w:r>
        <w:rPr>
          <w:w w:val="125"/>
          <w:sz w:val="22"/>
        </w:rPr>
        <w:t>Go through the assessment</w:t>
      </w:r>
      <w:r>
        <w:rPr>
          <w:spacing w:val="-38"/>
          <w:w w:val="125"/>
          <w:sz w:val="22"/>
        </w:rPr>
        <w:t> </w:t>
      </w:r>
      <w:r>
        <w:rPr>
          <w:w w:val="125"/>
          <w:sz w:val="22"/>
        </w:rPr>
        <w:t>schedule</w:t>
      </w:r>
    </w:p>
    <w:p>
      <w:pPr>
        <w:pStyle w:val="BodyText"/>
        <w:spacing w:before="1"/>
        <w:ind w:left="392" w:right="769"/>
      </w:pPr>
      <w:r>
        <w:rPr>
          <w:w w:val="115"/>
        </w:rPr>
        <w:t>Introduce</w:t>
      </w:r>
      <w:r>
        <w:rPr>
          <w:spacing w:val="-16"/>
          <w:w w:val="115"/>
        </w:rPr>
        <w:t> </w:t>
      </w:r>
      <w:r>
        <w:rPr>
          <w:w w:val="115"/>
        </w:rPr>
        <w:t>the</w:t>
      </w:r>
      <w:r>
        <w:rPr>
          <w:spacing w:val="-10"/>
          <w:w w:val="115"/>
        </w:rPr>
        <w:t> </w:t>
      </w:r>
      <w:r>
        <w:rPr>
          <w:w w:val="115"/>
        </w:rPr>
        <w:t>assessment</w:t>
      </w:r>
      <w:r>
        <w:rPr>
          <w:spacing w:val="-11"/>
          <w:w w:val="115"/>
        </w:rPr>
        <w:t> </w:t>
      </w:r>
      <w:r>
        <w:rPr>
          <w:w w:val="115"/>
        </w:rPr>
        <w:t>schedule</w:t>
      </w:r>
      <w:r>
        <w:rPr>
          <w:spacing w:val="-15"/>
          <w:w w:val="115"/>
        </w:rPr>
        <w:t> </w:t>
      </w:r>
      <w:r>
        <w:rPr>
          <w:w w:val="115"/>
        </w:rPr>
        <w:t>carefully</w:t>
      </w:r>
      <w:r>
        <w:rPr>
          <w:spacing w:val="-15"/>
          <w:w w:val="115"/>
        </w:rPr>
        <w:t> </w:t>
      </w:r>
      <w:r>
        <w:rPr>
          <w:w w:val="115"/>
        </w:rPr>
        <w:t>so</w:t>
      </w:r>
      <w:r>
        <w:rPr>
          <w:spacing w:val="-14"/>
          <w:w w:val="115"/>
        </w:rPr>
        <w:t> </w:t>
      </w:r>
      <w:r>
        <w:rPr>
          <w:w w:val="115"/>
        </w:rPr>
        <w:t>that</w:t>
      </w:r>
      <w:r>
        <w:rPr>
          <w:spacing w:val="-13"/>
          <w:w w:val="115"/>
        </w:rPr>
        <w:t> </w:t>
      </w:r>
      <w:r>
        <w:rPr>
          <w:w w:val="115"/>
        </w:rPr>
        <w:t>markers</w:t>
      </w:r>
      <w:r>
        <w:rPr>
          <w:spacing w:val="-15"/>
          <w:w w:val="115"/>
        </w:rPr>
        <w:t> </w:t>
      </w:r>
      <w:r>
        <w:rPr>
          <w:w w:val="115"/>
        </w:rPr>
        <w:t>understand</w:t>
      </w:r>
      <w:r>
        <w:rPr>
          <w:spacing w:val="-15"/>
          <w:w w:val="115"/>
        </w:rPr>
        <w:t> </w:t>
      </w:r>
      <w:r>
        <w:rPr>
          <w:w w:val="115"/>
        </w:rPr>
        <w:t>how</w:t>
      </w:r>
      <w:r>
        <w:rPr>
          <w:spacing w:val="-16"/>
          <w:w w:val="115"/>
        </w:rPr>
        <w:t> </w:t>
      </w:r>
      <w:r>
        <w:rPr>
          <w:w w:val="115"/>
        </w:rPr>
        <w:t>each</w:t>
      </w:r>
      <w:r>
        <w:rPr>
          <w:spacing w:val="-14"/>
          <w:w w:val="115"/>
        </w:rPr>
        <w:t> </w:t>
      </w:r>
      <w:r>
        <w:rPr>
          <w:w w:val="115"/>
        </w:rPr>
        <w:t>standard</w:t>
      </w:r>
      <w:r>
        <w:rPr>
          <w:spacing w:val="-14"/>
          <w:w w:val="115"/>
        </w:rPr>
        <w:t> </w:t>
      </w:r>
      <w:r>
        <w:rPr>
          <w:w w:val="115"/>
        </w:rPr>
        <w:t>has been interpreted and what evidence is required for</w:t>
      </w:r>
      <w:r>
        <w:rPr>
          <w:spacing w:val="-44"/>
          <w:w w:val="115"/>
        </w:rPr>
        <w:t> </w:t>
      </w:r>
      <w:r>
        <w:rPr>
          <w:w w:val="115"/>
        </w:rPr>
        <w:t>judgement.</w:t>
      </w:r>
    </w:p>
    <w:p>
      <w:pPr>
        <w:pStyle w:val="BodyText"/>
        <w:spacing w:before="11"/>
        <w:rPr>
          <w:sz w:val="20"/>
        </w:rPr>
      </w:pPr>
    </w:p>
    <w:p>
      <w:pPr>
        <w:pStyle w:val="BodyText"/>
        <w:ind w:left="392" w:right="769"/>
      </w:pPr>
      <w:r>
        <w:rPr>
          <w:w w:val="115"/>
        </w:rPr>
        <w:t>Also tell markers NOT to underline/slash the top boxes which house the criteria of the standard.</w:t>
      </w:r>
    </w:p>
    <w:p>
      <w:pPr>
        <w:pStyle w:val="BodyText"/>
        <w:spacing w:before="8"/>
        <w:rPr>
          <w:sz w:val="20"/>
        </w:rPr>
      </w:pPr>
    </w:p>
    <w:p>
      <w:pPr>
        <w:pStyle w:val="BodyText"/>
        <w:ind w:left="392" w:right="843"/>
      </w:pPr>
      <w:r>
        <w:rPr>
          <w:w w:val="110"/>
        </w:rPr>
        <w:t>Instruct markers that they must ALWAYS refer to the assessment schedule and regularly review their application of the schedule referring to the bench marked portfolios, advice from the check marker and against the achievement standard.</w:t>
      </w:r>
    </w:p>
    <w:p>
      <w:pPr>
        <w:pStyle w:val="BodyText"/>
        <w:rPr>
          <w:sz w:val="21"/>
        </w:rPr>
      </w:pPr>
    </w:p>
    <w:p>
      <w:pPr>
        <w:pStyle w:val="BodyText"/>
        <w:ind w:left="392" w:right="769"/>
      </w:pPr>
      <w:r>
        <w:rPr>
          <w:w w:val="115"/>
        </w:rPr>
        <w:t>Remind</w:t>
      </w:r>
      <w:r>
        <w:rPr>
          <w:spacing w:val="-21"/>
          <w:w w:val="115"/>
        </w:rPr>
        <w:t> </w:t>
      </w:r>
      <w:r>
        <w:rPr>
          <w:w w:val="115"/>
        </w:rPr>
        <w:t>markers</w:t>
      </w:r>
      <w:r>
        <w:rPr>
          <w:spacing w:val="-20"/>
          <w:w w:val="115"/>
        </w:rPr>
        <w:t> </w:t>
      </w:r>
      <w:r>
        <w:rPr>
          <w:w w:val="115"/>
        </w:rPr>
        <w:t>again</w:t>
      </w:r>
      <w:r>
        <w:rPr>
          <w:spacing w:val="-22"/>
          <w:w w:val="115"/>
        </w:rPr>
        <w:t> </w:t>
      </w:r>
      <w:r>
        <w:rPr>
          <w:w w:val="115"/>
        </w:rPr>
        <w:t>that</w:t>
      </w:r>
      <w:r>
        <w:rPr>
          <w:spacing w:val="-20"/>
          <w:w w:val="115"/>
        </w:rPr>
        <w:t> </w:t>
      </w:r>
      <w:r>
        <w:rPr>
          <w:w w:val="115"/>
        </w:rPr>
        <w:t>they</w:t>
      </w:r>
      <w:r>
        <w:rPr>
          <w:spacing w:val="-22"/>
          <w:w w:val="115"/>
        </w:rPr>
        <w:t> </w:t>
      </w:r>
      <w:r>
        <w:rPr>
          <w:w w:val="115"/>
        </w:rPr>
        <w:t>may</w:t>
      </w:r>
      <w:r>
        <w:rPr>
          <w:spacing w:val="-22"/>
          <w:w w:val="115"/>
        </w:rPr>
        <w:t> </w:t>
      </w:r>
      <w:r>
        <w:rPr>
          <w:w w:val="115"/>
        </w:rPr>
        <w:t>have</w:t>
      </w:r>
      <w:r>
        <w:rPr>
          <w:spacing w:val="-20"/>
          <w:w w:val="115"/>
        </w:rPr>
        <w:t> </w:t>
      </w:r>
      <w:r>
        <w:rPr>
          <w:w w:val="115"/>
        </w:rPr>
        <w:t>to</w:t>
      </w:r>
      <w:r>
        <w:rPr>
          <w:spacing w:val="-21"/>
          <w:w w:val="115"/>
        </w:rPr>
        <w:t> </w:t>
      </w:r>
      <w:r>
        <w:rPr>
          <w:w w:val="115"/>
        </w:rPr>
        <w:t>be</w:t>
      </w:r>
      <w:r>
        <w:rPr>
          <w:spacing w:val="-21"/>
          <w:w w:val="115"/>
        </w:rPr>
        <w:t> </w:t>
      </w:r>
      <w:r>
        <w:rPr>
          <w:w w:val="115"/>
        </w:rPr>
        <w:t>detached</w:t>
      </w:r>
      <w:r>
        <w:rPr>
          <w:spacing w:val="-21"/>
          <w:w w:val="115"/>
        </w:rPr>
        <w:t> </w:t>
      </w:r>
      <w:r>
        <w:rPr>
          <w:w w:val="115"/>
        </w:rPr>
        <w:t>from</w:t>
      </w:r>
      <w:r>
        <w:rPr>
          <w:spacing w:val="-20"/>
          <w:w w:val="115"/>
        </w:rPr>
        <w:t> </w:t>
      </w:r>
      <w:r>
        <w:rPr>
          <w:w w:val="115"/>
        </w:rPr>
        <w:t>their</w:t>
      </w:r>
      <w:r>
        <w:rPr>
          <w:spacing w:val="-22"/>
          <w:w w:val="115"/>
        </w:rPr>
        <w:t> </w:t>
      </w:r>
      <w:r>
        <w:rPr>
          <w:w w:val="115"/>
        </w:rPr>
        <w:t>personal</w:t>
      </w:r>
      <w:r>
        <w:rPr>
          <w:spacing w:val="-22"/>
          <w:w w:val="115"/>
        </w:rPr>
        <w:t> </w:t>
      </w:r>
      <w:r>
        <w:rPr>
          <w:w w:val="115"/>
        </w:rPr>
        <w:t>feelings</w:t>
      </w:r>
      <w:r>
        <w:rPr>
          <w:spacing w:val="-22"/>
          <w:w w:val="115"/>
        </w:rPr>
        <w:t> </w:t>
      </w:r>
      <w:r>
        <w:rPr>
          <w:w w:val="115"/>
        </w:rPr>
        <w:t>on</w:t>
      </w:r>
      <w:r>
        <w:rPr>
          <w:spacing w:val="-19"/>
          <w:w w:val="115"/>
        </w:rPr>
        <w:t> </w:t>
      </w:r>
      <w:r>
        <w:rPr>
          <w:w w:val="115"/>
        </w:rPr>
        <w:t>some issues,</w:t>
      </w:r>
      <w:r>
        <w:rPr>
          <w:spacing w:val="-5"/>
          <w:w w:val="115"/>
        </w:rPr>
        <w:t> </w:t>
      </w:r>
      <w:r>
        <w:rPr>
          <w:w w:val="115"/>
        </w:rPr>
        <w:t>and</w:t>
      </w:r>
      <w:r>
        <w:rPr>
          <w:spacing w:val="-9"/>
          <w:w w:val="115"/>
        </w:rPr>
        <w:t> </w:t>
      </w:r>
      <w:r>
        <w:rPr>
          <w:w w:val="115"/>
        </w:rPr>
        <w:t>how</w:t>
      </w:r>
      <w:r>
        <w:rPr>
          <w:spacing w:val="-10"/>
          <w:w w:val="115"/>
        </w:rPr>
        <w:t> </w:t>
      </w:r>
      <w:r>
        <w:rPr>
          <w:w w:val="115"/>
        </w:rPr>
        <w:t>they</w:t>
      </w:r>
      <w:r>
        <w:rPr>
          <w:spacing w:val="-10"/>
          <w:w w:val="115"/>
        </w:rPr>
        <w:t> </w:t>
      </w:r>
      <w:r>
        <w:rPr>
          <w:w w:val="115"/>
        </w:rPr>
        <w:t>think</w:t>
      </w:r>
      <w:r>
        <w:rPr>
          <w:spacing w:val="-5"/>
          <w:w w:val="115"/>
        </w:rPr>
        <w:t> </w:t>
      </w:r>
      <w:r>
        <w:rPr>
          <w:w w:val="115"/>
        </w:rPr>
        <w:t>their</w:t>
      </w:r>
      <w:r>
        <w:rPr>
          <w:spacing w:val="-7"/>
          <w:w w:val="115"/>
        </w:rPr>
        <w:t> </w:t>
      </w:r>
      <w:r>
        <w:rPr>
          <w:w w:val="115"/>
        </w:rPr>
        <w:t>own</w:t>
      </w:r>
      <w:r>
        <w:rPr>
          <w:spacing w:val="-9"/>
          <w:w w:val="115"/>
        </w:rPr>
        <w:t> </w:t>
      </w:r>
      <w:r>
        <w:rPr>
          <w:w w:val="115"/>
        </w:rPr>
        <w:t>students</w:t>
      </w:r>
      <w:r>
        <w:rPr>
          <w:spacing w:val="-9"/>
          <w:w w:val="115"/>
        </w:rPr>
        <w:t> </w:t>
      </w:r>
      <w:r>
        <w:rPr>
          <w:w w:val="115"/>
        </w:rPr>
        <w:t>may</w:t>
      </w:r>
      <w:r>
        <w:rPr>
          <w:spacing w:val="-10"/>
          <w:w w:val="115"/>
        </w:rPr>
        <w:t> </w:t>
      </w:r>
      <w:r>
        <w:rPr>
          <w:w w:val="115"/>
        </w:rPr>
        <w:t>have</w:t>
      </w:r>
      <w:r>
        <w:rPr>
          <w:spacing w:val="-7"/>
          <w:w w:val="115"/>
        </w:rPr>
        <w:t> </w:t>
      </w:r>
      <w:r>
        <w:rPr>
          <w:w w:val="115"/>
        </w:rPr>
        <w:t>presented</w:t>
      </w:r>
      <w:r>
        <w:rPr>
          <w:spacing w:val="-10"/>
          <w:w w:val="115"/>
        </w:rPr>
        <w:t> </w:t>
      </w:r>
      <w:r>
        <w:rPr>
          <w:w w:val="115"/>
        </w:rPr>
        <w:t>material.</w:t>
      </w:r>
    </w:p>
    <w:p>
      <w:pPr>
        <w:pStyle w:val="BodyText"/>
        <w:spacing w:before="8"/>
        <w:rPr>
          <w:sz w:val="20"/>
        </w:rPr>
      </w:pPr>
    </w:p>
    <w:p>
      <w:pPr>
        <w:pStyle w:val="ListParagraph"/>
        <w:numPr>
          <w:ilvl w:val="0"/>
          <w:numId w:val="8"/>
        </w:numPr>
        <w:tabs>
          <w:tab w:pos="1101" w:val="left" w:leader="none"/>
          <w:tab w:pos="1102" w:val="left" w:leader="none"/>
        </w:tabs>
        <w:spacing w:line="240" w:lineRule="auto" w:before="0" w:after="0"/>
        <w:ind w:left="1101" w:right="0" w:hanging="709"/>
        <w:jc w:val="left"/>
        <w:rPr>
          <w:sz w:val="22"/>
        </w:rPr>
      </w:pPr>
      <w:r>
        <w:rPr>
          <w:w w:val="125"/>
          <w:sz w:val="22"/>
        </w:rPr>
        <w:t>Assess bench marked</w:t>
      </w:r>
      <w:r>
        <w:rPr>
          <w:spacing w:val="-28"/>
          <w:w w:val="125"/>
          <w:sz w:val="22"/>
        </w:rPr>
        <w:t> </w:t>
      </w:r>
      <w:r>
        <w:rPr>
          <w:w w:val="125"/>
          <w:sz w:val="22"/>
        </w:rPr>
        <w:t>portfolios</w:t>
      </w:r>
    </w:p>
    <w:p>
      <w:pPr>
        <w:pStyle w:val="BodyText"/>
        <w:spacing w:before="122"/>
        <w:ind w:left="392" w:right="1250"/>
        <w:jc w:val="both"/>
      </w:pPr>
      <w:r>
        <w:rPr>
          <w:w w:val="110"/>
        </w:rPr>
        <w:t>Allow</w:t>
      </w:r>
      <w:r>
        <w:rPr>
          <w:spacing w:val="-10"/>
          <w:w w:val="110"/>
        </w:rPr>
        <w:t> </w:t>
      </w:r>
      <w:r>
        <w:rPr>
          <w:w w:val="110"/>
        </w:rPr>
        <w:t>time</w:t>
      </w:r>
      <w:r>
        <w:rPr>
          <w:spacing w:val="-7"/>
          <w:w w:val="110"/>
        </w:rPr>
        <w:t> </w:t>
      </w:r>
      <w:r>
        <w:rPr>
          <w:w w:val="110"/>
        </w:rPr>
        <w:t>to</w:t>
      </w:r>
      <w:r>
        <w:rPr>
          <w:spacing w:val="-10"/>
          <w:w w:val="110"/>
        </w:rPr>
        <w:t> </w:t>
      </w:r>
      <w:r>
        <w:rPr>
          <w:w w:val="110"/>
        </w:rPr>
        <w:t>assess</w:t>
      </w:r>
      <w:r>
        <w:rPr>
          <w:spacing w:val="-9"/>
          <w:w w:val="110"/>
        </w:rPr>
        <w:t> </w:t>
      </w:r>
      <w:r>
        <w:rPr>
          <w:w w:val="110"/>
        </w:rPr>
        <w:t>the</w:t>
      </w:r>
      <w:r>
        <w:rPr>
          <w:spacing w:val="-8"/>
          <w:w w:val="110"/>
        </w:rPr>
        <w:t> </w:t>
      </w:r>
      <w:r>
        <w:rPr>
          <w:w w:val="110"/>
        </w:rPr>
        <w:t>bench</w:t>
      </w:r>
      <w:r>
        <w:rPr>
          <w:spacing w:val="-6"/>
          <w:w w:val="110"/>
        </w:rPr>
        <w:t> </w:t>
      </w:r>
      <w:r>
        <w:rPr>
          <w:w w:val="110"/>
        </w:rPr>
        <w:t>marked</w:t>
      </w:r>
      <w:r>
        <w:rPr>
          <w:spacing w:val="-8"/>
          <w:w w:val="110"/>
        </w:rPr>
        <w:t> </w:t>
      </w:r>
      <w:r>
        <w:rPr>
          <w:w w:val="110"/>
        </w:rPr>
        <w:t>portfolios</w:t>
      </w:r>
      <w:r>
        <w:rPr>
          <w:spacing w:val="-8"/>
          <w:w w:val="110"/>
        </w:rPr>
        <w:t> </w:t>
      </w:r>
      <w:r>
        <w:rPr>
          <w:w w:val="110"/>
        </w:rPr>
        <w:t>(BM1,</w:t>
      </w:r>
      <w:r>
        <w:rPr>
          <w:spacing w:val="-5"/>
          <w:w w:val="110"/>
        </w:rPr>
        <w:t> </w:t>
      </w:r>
      <w:r>
        <w:rPr>
          <w:w w:val="110"/>
        </w:rPr>
        <w:t>BM2,</w:t>
      </w:r>
      <w:r>
        <w:rPr>
          <w:spacing w:val="-4"/>
          <w:w w:val="110"/>
        </w:rPr>
        <w:t> </w:t>
      </w:r>
      <w:r>
        <w:rPr>
          <w:w w:val="110"/>
        </w:rPr>
        <w:t>BM3,</w:t>
      </w:r>
      <w:r>
        <w:rPr>
          <w:spacing w:val="-4"/>
          <w:w w:val="110"/>
        </w:rPr>
        <w:t> </w:t>
      </w:r>
      <w:r>
        <w:rPr>
          <w:w w:val="110"/>
        </w:rPr>
        <w:t>etc.)</w:t>
      </w:r>
      <w:r>
        <w:rPr>
          <w:spacing w:val="-7"/>
          <w:w w:val="110"/>
        </w:rPr>
        <w:t> </w:t>
      </w:r>
      <w:r>
        <w:rPr>
          <w:w w:val="110"/>
        </w:rPr>
        <w:t>and</w:t>
      </w:r>
      <w:r>
        <w:rPr>
          <w:spacing w:val="-7"/>
          <w:w w:val="110"/>
        </w:rPr>
        <w:t> </w:t>
      </w:r>
      <w:r>
        <w:rPr>
          <w:w w:val="110"/>
        </w:rPr>
        <w:t>then</w:t>
      </w:r>
      <w:r>
        <w:rPr>
          <w:spacing w:val="-7"/>
          <w:w w:val="110"/>
        </w:rPr>
        <w:t> </w:t>
      </w:r>
      <w:r>
        <w:rPr>
          <w:w w:val="110"/>
        </w:rPr>
        <w:t>compare results. Use a whiteboard or grid to compare results. An analysis of how each standard was assessed soon shows up areas of inconsistency that can be discussed </w:t>
      </w:r>
      <w:r>
        <w:rPr>
          <w:spacing w:val="-2"/>
          <w:w w:val="110"/>
        </w:rPr>
        <w:t>and </w:t>
      </w:r>
      <w:r>
        <w:rPr>
          <w:w w:val="110"/>
        </w:rPr>
        <w:t>addressed. Get markers</w:t>
      </w:r>
      <w:r>
        <w:rPr>
          <w:spacing w:val="4"/>
          <w:w w:val="110"/>
        </w:rPr>
        <w:t> </w:t>
      </w:r>
      <w:r>
        <w:rPr>
          <w:w w:val="110"/>
        </w:rPr>
        <w:t>to</w:t>
      </w:r>
      <w:r>
        <w:rPr>
          <w:spacing w:val="5"/>
          <w:w w:val="110"/>
        </w:rPr>
        <w:t> </w:t>
      </w:r>
      <w:r>
        <w:rPr>
          <w:w w:val="110"/>
        </w:rPr>
        <w:t>call</w:t>
      </w:r>
      <w:r>
        <w:rPr>
          <w:spacing w:val="6"/>
          <w:w w:val="110"/>
        </w:rPr>
        <w:t> </w:t>
      </w:r>
      <w:r>
        <w:rPr>
          <w:w w:val="110"/>
        </w:rPr>
        <w:t>out</w:t>
      </w:r>
      <w:r>
        <w:rPr>
          <w:spacing w:val="8"/>
          <w:w w:val="110"/>
        </w:rPr>
        <w:t> </w:t>
      </w:r>
      <w:r>
        <w:rPr>
          <w:w w:val="110"/>
        </w:rPr>
        <w:t>their</w:t>
      </w:r>
      <w:r>
        <w:rPr>
          <w:spacing w:val="4"/>
          <w:w w:val="110"/>
        </w:rPr>
        <w:t> </w:t>
      </w:r>
      <w:r>
        <w:rPr>
          <w:w w:val="110"/>
        </w:rPr>
        <w:t>results</w:t>
      </w:r>
      <w:r>
        <w:rPr>
          <w:spacing w:val="6"/>
          <w:w w:val="110"/>
        </w:rPr>
        <w:t> </w:t>
      </w:r>
      <w:r>
        <w:rPr>
          <w:w w:val="110"/>
        </w:rPr>
        <w:t>so</w:t>
      </w:r>
      <w:r>
        <w:rPr>
          <w:spacing w:val="2"/>
          <w:w w:val="110"/>
        </w:rPr>
        <w:t> </w:t>
      </w:r>
      <w:r>
        <w:rPr>
          <w:w w:val="110"/>
        </w:rPr>
        <w:t>a</w:t>
      </w:r>
      <w:r>
        <w:rPr>
          <w:spacing w:val="7"/>
          <w:w w:val="110"/>
        </w:rPr>
        <w:t> </w:t>
      </w:r>
      <w:r>
        <w:rPr>
          <w:w w:val="110"/>
        </w:rPr>
        <w:t>discussion</w:t>
      </w:r>
      <w:r>
        <w:rPr>
          <w:spacing w:val="6"/>
          <w:w w:val="110"/>
        </w:rPr>
        <w:t> </w:t>
      </w:r>
      <w:r>
        <w:rPr>
          <w:w w:val="110"/>
        </w:rPr>
        <w:t>can</w:t>
      </w:r>
      <w:r>
        <w:rPr>
          <w:spacing w:val="7"/>
          <w:w w:val="110"/>
        </w:rPr>
        <w:t> </w:t>
      </w:r>
      <w:r>
        <w:rPr>
          <w:w w:val="110"/>
        </w:rPr>
        <w:t>be</w:t>
      </w:r>
      <w:r>
        <w:rPr>
          <w:spacing w:val="8"/>
          <w:w w:val="110"/>
        </w:rPr>
        <w:t> </w:t>
      </w:r>
      <w:r>
        <w:rPr>
          <w:w w:val="110"/>
        </w:rPr>
        <w:t>had</w:t>
      </w:r>
      <w:r>
        <w:rPr>
          <w:spacing w:val="5"/>
          <w:w w:val="110"/>
        </w:rPr>
        <w:t> </w:t>
      </w:r>
      <w:r>
        <w:rPr>
          <w:w w:val="110"/>
        </w:rPr>
        <w:t>about</w:t>
      </w:r>
      <w:r>
        <w:rPr>
          <w:spacing w:val="8"/>
          <w:w w:val="110"/>
        </w:rPr>
        <w:t> </w:t>
      </w:r>
      <w:r>
        <w:rPr>
          <w:w w:val="110"/>
        </w:rPr>
        <w:t>the</w:t>
      </w:r>
      <w:r>
        <w:rPr>
          <w:spacing w:val="3"/>
          <w:w w:val="110"/>
        </w:rPr>
        <w:t> </w:t>
      </w:r>
      <w:r>
        <w:rPr>
          <w:w w:val="110"/>
        </w:rPr>
        <w:t>grade</w:t>
      </w:r>
      <w:r>
        <w:rPr>
          <w:spacing w:val="6"/>
          <w:w w:val="110"/>
        </w:rPr>
        <w:t> </w:t>
      </w:r>
      <w:r>
        <w:rPr>
          <w:w w:val="110"/>
        </w:rPr>
        <w:t>awarded.</w:t>
      </w:r>
    </w:p>
    <w:p>
      <w:pPr>
        <w:pStyle w:val="BodyText"/>
        <w:spacing w:before="8"/>
        <w:rPr>
          <w:sz w:val="20"/>
        </w:rPr>
      </w:pPr>
    </w:p>
    <w:p>
      <w:pPr>
        <w:pStyle w:val="ListParagraph"/>
        <w:numPr>
          <w:ilvl w:val="0"/>
          <w:numId w:val="8"/>
        </w:numPr>
        <w:tabs>
          <w:tab w:pos="1101" w:val="left" w:leader="none"/>
          <w:tab w:pos="1102" w:val="left" w:leader="none"/>
        </w:tabs>
        <w:spacing w:line="240" w:lineRule="auto" w:before="0" w:after="0"/>
        <w:ind w:left="1101" w:right="0" w:hanging="709"/>
        <w:jc w:val="left"/>
        <w:rPr>
          <w:sz w:val="22"/>
        </w:rPr>
      </w:pPr>
      <w:r>
        <w:rPr>
          <w:w w:val="115"/>
          <w:sz w:val="22"/>
        </w:rPr>
        <w:t>Assess BMA, BMB, BMC and BMD,</w:t>
      </w:r>
      <w:r>
        <w:rPr>
          <w:spacing w:val="-21"/>
          <w:w w:val="115"/>
          <w:sz w:val="22"/>
        </w:rPr>
        <w:t> </w:t>
      </w:r>
      <w:r>
        <w:rPr>
          <w:w w:val="115"/>
          <w:sz w:val="22"/>
        </w:rPr>
        <w:t>etc.</w:t>
      </w:r>
    </w:p>
    <w:p>
      <w:pPr>
        <w:pStyle w:val="BodyText"/>
        <w:spacing w:before="122"/>
        <w:ind w:left="392" w:right="812"/>
        <w:jc w:val="both"/>
      </w:pPr>
      <w:r>
        <w:rPr>
          <w:w w:val="110"/>
        </w:rPr>
        <w:t>These are the first bench marked portfolios that are marked independently by the senior marking team. Ask markers to assess these. You will check assess marker results and provide feedback. Ensure that all markers understand the schedule and interpretations.</w:t>
      </w:r>
    </w:p>
    <w:p>
      <w:pPr>
        <w:spacing w:after="0"/>
        <w:jc w:val="both"/>
        <w:sectPr>
          <w:pgSz w:w="11910" w:h="16840"/>
          <w:pgMar w:header="0" w:footer="297" w:top="760" w:bottom="480" w:left="740" w:right="580"/>
        </w:sectPr>
      </w:pPr>
    </w:p>
    <w:p>
      <w:pPr>
        <w:pStyle w:val="ListParagraph"/>
        <w:numPr>
          <w:ilvl w:val="0"/>
          <w:numId w:val="8"/>
        </w:numPr>
        <w:tabs>
          <w:tab w:pos="1100" w:val="left" w:leader="none"/>
          <w:tab w:pos="1101" w:val="left" w:leader="none"/>
        </w:tabs>
        <w:spacing w:line="240" w:lineRule="auto" w:before="74" w:after="0"/>
        <w:ind w:left="1100" w:right="0" w:hanging="708"/>
        <w:jc w:val="left"/>
        <w:rPr>
          <w:sz w:val="22"/>
        </w:rPr>
      </w:pPr>
      <w:r>
        <w:rPr>
          <w:w w:val="120"/>
          <w:sz w:val="22"/>
        </w:rPr>
        <w:t>Check</w:t>
      </w:r>
      <w:r>
        <w:rPr>
          <w:spacing w:val="-6"/>
          <w:w w:val="120"/>
          <w:sz w:val="22"/>
        </w:rPr>
        <w:t> </w:t>
      </w:r>
      <w:r>
        <w:rPr>
          <w:w w:val="120"/>
          <w:sz w:val="22"/>
        </w:rPr>
        <w:t>marking</w:t>
      </w:r>
    </w:p>
    <w:p>
      <w:pPr>
        <w:pStyle w:val="BodyText"/>
        <w:spacing w:before="119"/>
        <w:ind w:left="392" w:right="711"/>
        <w:jc w:val="both"/>
      </w:pPr>
      <w:r>
        <w:rPr>
          <w:w w:val="110"/>
        </w:rPr>
        <w:t>Advise markers of the check marker submission dates. Ask markers to send up to 20 consecutive portfolios</w:t>
      </w:r>
      <w:r>
        <w:rPr>
          <w:spacing w:val="-8"/>
          <w:w w:val="110"/>
        </w:rPr>
        <w:t> </w:t>
      </w:r>
      <w:r>
        <w:rPr>
          <w:w w:val="110"/>
        </w:rPr>
        <w:t>for</w:t>
      </w:r>
      <w:r>
        <w:rPr>
          <w:spacing w:val="-7"/>
          <w:w w:val="110"/>
        </w:rPr>
        <w:t> </w:t>
      </w:r>
      <w:r>
        <w:rPr>
          <w:w w:val="110"/>
        </w:rPr>
        <w:t>check</w:t>
      </w:r>
      <w:r>
        <w:rPr>
          <w:spacing w:val="-6"/>
          <w:w w:val="110"/>
        </w:rPr>
        <w:t> </w:t>
      </w:r>
      <w:r>
        <w:rPr>
          <w:w w:val="110"/>
        </w:rPr>
        <w:t>marking</w:t>
      </w:r>
      <w:r>
        <w:rPr>
          <w:spacing w:val="-4"/>
          <w:w w:val="110"/>
        </w:rPr>
        <w:t> </w:t>
      </w:r>
      <w:r>
        <w:rPr>
          <w:w w:val="110"/>
        </w:rPr>
        <w:t>and</w:t>
      </w:r>
      <w:r>
        <w:rPr>
          <w:spacing w:val="-3"/>
          <w:w w:val="110"/>
        </w:rPr>
        <w:t> </w:t>
      </w:r>
      <w:r>
        <w:rPr>
          <w:w w:val="110"/>
        </w:rPr>
        <w:t>explain</w:t>
      </w:r>
      <w:r>
        <w:rPr>
          <w:spacing w:val="-7"/>
          <w:w w:val="110"/>
        </w:rPr>
        <w:t> </w:t>
      </w:r>
      <w:r>
        <w:rPr>
          <w:w w:val="110"/>
        </w:rPr>
        <w:t>that</w:t>
      </w:r>
      <w:r>
        <w:rPr>
          <w:spacing w:val="-6"/>
          <w:w w:val="110"/>
        </w:rPr>
        <w:t> </w:t>
      </w:r>
      <w:r>
        <w:rPr>
          <w:w w:val="110"/>
        </w:rPr>
        <w:t>you</w:t>
      </w:r>
      <w:r>
        <w:rPr>
          <w:spacing w:val="-7"/>
          <w:w w:val="110"/>
        </w:rPr>
        <w:t> </w:t>
      </w:r>
      <w:r>
        <w:rPr>
          <w:w w:val="110"/>
        </w:rPr>
        <w:t>will</w:t>
      </w:r>
      <w:r>
        <w:rPr>
          <w:spacing w:val="-6"/>
          <w:w w:val="110"/>
        </w:rPr>
        <w:t> </w:t>
      </w:r>
      <w:r>
        <w:rPr>
          <w:w w:val="110"/>
        </w:rPr>
        <w:t>check</w:t>
      </w:r>
      <w:r>
        <w:rPr>
          <w:spacing w:val="-3"/>
          <w:w w:val="110"/>
        </w:rPr>
        <w:t> </w:t>
      </w:r>
      <w:r>
        <w:rPr>
          <w:w w:val="110"/>
        </w:rPr>
        <w:t>mark</w:t>
      </w:r>
      <w:r>
        <w:rPr>
          <w:spacing w:val="-8"/>
          <w:w w:val="110"/>
        </w:rPr>
        <w:t> </w:t>
      </w:r>
      <w:r>
        <w:rPr>
          <w:w w:val="110"/>
        </w:rPr>
        <w:t>as</w:t>
      </w:r>
      <w:r>
        <w:rPr>
          <w:spacing w:val="-7"/>
          <w:w w:val="110"/>
        </w:rPr>
        <w:t> </w:t>
      </w:r>
      <w:r>
        <w:rPr>
          <w:w w:val="110"/>
        </w:rPr>
        <w:t>many</w:t>
      </w:r>
      <w:r>
        <w:rPr>
          <w:spacing w:val="-9"/>
          <w:w w:val="110"/>
        </w:rPr>
        <w:t> </w:t>
      </w:r>
      <w:r>
        <w:rPr>
          <w:w w:val="110"/>
        </w:rPr>
        <w:t>portfolios</w:t>
      </w:r>
      <w:r>
        <w:rPr>
          <w:spacing w:val="-4"/>
          <w:w w:val="110"/>
        </w:rPr>
        <w:t> </w:t>
      </w:r>
      <w:r>
        <w:rPr>
          <w:w w:val="110"/>
        </w:rPr>
        <w:t>as</w:t>
      </w:r>
      <w:r>
        <w:rPr>
          <w:spacing w:val="-6"/>
          <w:w w:val="110"/>
        </w:rPr>
        <w:t> </w:t>
      </w:r>
      <w:r>
        <w:rPr>
          <w:w w:val="110"/>
        </w:rPr>
        <w:t>necessary to determine that they are consistently applying the assessment</w:t>
      </w:r>
      <w:r>
        <w:rPr>
          <w:spacing w:val="27"/>
          <w:w w:val="110"/>
        </w:rPr>
        <w:t> </w:t>
      </w:r>
      <w:r>
        <w:rPr>
          <w:w w:val="110"/>
        </w:rPr>
        <w:t>schedule.</w:t>
      </w:r>
    </w:p>
    <w:p>
      <w:pPr>
        <w:pStyle w:val="BodyText"/>
        <w:spacing w:before="10"/>
        <w:rPr>
          <w:sz w:val="20"/>
        </w:rPr>
      </w:pPr>
    </w:p>
    <w:p>
      <w:pPr>
        <w:pStyle w:val="BodyText"/>
        <w:ind w:left="392" w:right="910"/>
      </w:pPr>
      <w:r>
        <w:rPr>
          <w:w w:val="105"/>
        </w:rPr>
        <w:t>Markers can also submit extra portfolios to the check marker, if the portfolio  highlights issues that the marker has found difficult to make judgements</w:t>
      </w:r>
      <w:r>
        <w:rPr>
          <w:spacing w:val="39"/>
          <w:w w:val="105"/>
        </w:rPr>
        <w:t> </w:t>
      </w:r>
      <w:r>
        <w:rPr>
          <w:w w:val="105"/>
        </w:rPr>
        <w:t>on.</w:t>
      </w:r>
    </w:p>
    <w:p>
      <w:pPr>
        <w:pStyle w:val="BodyText"/>
        <w:spacing w:before="10"/>
        <w:rPr>
          <w:sz w:val="20"/>
        </w:rPr>
      </w:pPr>
    </w:p>
    <w:p>
      <w:pPr>
        <w:pStyle w:val="ListParagraph"/>
        <w:numPr>
          <w:ilvl w:val="0"/>
          <w:numId w:val="8"/>
        </w:numPr>
        <w:tabs>
          <w:tab w:pos="1101" w:val="left" w:leader="none"/>
          <w:tab w:pos="1102" w:val="left" w:leader="none"/>
        </w:tabs>
        <w:spacing w:line="240" w:lineRule="auto" w:before="0" w:after="0"/>
        <w:ind w:left="1101" w:right="0" w:hanging="709"/>
        <w:jc w:val="left"/>
        <w:rPr>
          <w:sz w:val="22"/>
        </w:rPr>
      </w:pPr>
      <w:r>
        <w:rPr>
          <w:w w:val="115"/>
          <w:sz w:val="22"/>
        </w:rPr>
        <w:t>Farewell</w:t>
      </w:r>
    </w:p>
    <w:p>
      <w:pPr>
        <w:pStyle w:val="BodyText"/>
        <w:spacing w:before="119"/>
        <w:ind w:left="392" w:right="1827"/>
      </w:pPr>
      <w:r>
        <w:rPr>
          <w:w w:val="115"/>
        </w:rPr>
        <w:t>Ensure</w:t>
      </w:r>
      <w:r>
        <w:rPr>
          <w:spacing w:val="-23"/>
          <w:w w:val="115"/>
        </w:rPr>
        <w:t> </w:t>
      </w:r>
      <w:r>
        <w:rPr>
          <w:w w:val="115"/>
        </w:rPr>
        <w:t>everyone</w:t>
      </w:r>
      <w:r>
        <w:rPr>
          <w:spacing w:val="-22"/>
          <w:w w:val="115"/>
        </w:rPr>
        <w:t> </w:t>
      </w:r>
      <w:r>
        <w:rPr>
          <w:w w:val="115"/>
        </w:rPr>
        <w:t>leaves</w:t>
      </w:r>
      <w:r>
        <w:rPr>
          <w:spacing w:val="-20"/>
          <w:w w:val="115"/>
        </w:rPr>
        <w:t> </w:t>
      </w:r>
      <w:r>
        <w:rPr>
          <w:w w:val="115"/>
        </w:rPr>
        <w:t>the</w:t>
      </w:r>
      <w:r>
        <w:rPr>
          <w:spacing w:val="-22"/>
          <w:w w:val="115"/>
        </w:rPr>
        <w:t> </w:t>
      </w:r>
      <w:r>
        <w:rPr>
          <w:w w:val="115"/>
        </w:rPr>
        <w:t>meeting(s)</w:t>
      </w:r>
      <w:r>
        <w:rPr>
          <w:spacing w:val="-25"/>
          <w:w w:val="115"/>
        </w:rPr>
        <w:t> </w:t>
      </w:r>
      <w:r>
        <w:rPr>
          <w:w w:val="115"/>
        </w:rPr>
        <w:t>feeling</w:t>
      </w:r>
      <w:r>
        <w:rPr>
          <w:spacing w:val="-22"/>
          <w:w w:val="115"/>
        </w:rPr>
        <w:t> </w:t>
      </w:r>
      <w:r>
        <w:rPr>
          <w:w w:val="115"/>
        </w:rPr>
        <w:t>positive,</w:t>
      </w:r>
      <w:r>
        <w:rPr>
          <w:spacing w:val="-20"/>
          <w:w w:val="115"/>
        </w:rPr>
        <w:t> </w:t>
      </w:r>
      <w:r>
        <w:rPr>
          <w:w w:val="115"/>
        </w:rPr>
        <w:t>encouraged</w:t>
      </w:r>
      <w:r>
        <w:rPr>
          <w:spacing w:val="-23"/>
          <w:w w:val="115"/>
        </w:rPr>
        <w:t> </w:t>
      </w:r>
      <w:r>
        <w:rPr>
          <w:w w:val="115"/>
        </w:rPr>
        <w:t>and</w:t>
      </w:r>
      <w:r>
        <w:rPr>
          <w:spacing w:val="-22"/>
          <w:w w:val="115"/>
        </w:rPr>
        <w:t> </w:t>
      </w:r>
      <w:r>
        <w:rPr>
          <w:w w:val="115"/>
        </w:rPr>
        <w:t>clear</w:t>
      </w:r>
      <w:r>
        <w:rPr>
          <w:spacing w:val="-21"/>
          <w:w w:val="115"/>
        </w:rPr>
        <w:t> </w:t>
      </w:r>
      <w:r>
        <w:rPr>
          <w:w w:val="115"/>
        </w:rPr>
        <w:t>on</w:t>
      </w:r>
      <w:r>
        <w:rPr>
          <w:spacing w:val="-23"/>
          <w:w w:val="115"/>
        </w:rPr>
        <w:t> </w:t>
      </w:r>
      <w:r>
        <w:rPr>
          <w:w w:val="115"/>
        </w:rPr>
        <w:t>the arrangements for</w:t>
      </w:r>
      <w:r>
        <w:rPr>
          <w:spacing w:val="-11"/>
          <w:w w:val="115"/>
        </w:rPr>
        <w:t> </w:t>
      </w:r>
      <w:r>
        <w:rPr>
          <w:w w:val="115"/>
        </w:rPr>
        <w:t>marking.</w:t>
      </w:r>
    </w:p>
    <w:p>
      <w:pPr>
        <w:pStyle w:val="BodyText"/>
        <w:spacing w:before="11"/>
        <w:rPr>
          <w:sz w:val="20"/>
        </w:rPr>
      </w:pPr>
    </w:p>
    <w:p>
      <w:pPr>
        <w:pStyle w:val="BodyText"/>
        <w:ind w:left="392" w:right="674"/>
      </w:pPr>
      <w:r>
        <w:rPr>
          <w:w w:val="110"/>
        </w:rPr>
        <w:t>Emphasise the professional development that the process provides. The marking process can be a bit daunting, but remind everyone that you are available for phone calls throughout the marking period. You might like to tell them the best time to call.</w:t>
      </w:r>
    </w:p>
    <w:p>
      <w:pPr>
        <w:pStyle w:val="BodyText"/>
      </w:pPr>
    </w:p>
    <w:p>
      <w:pPr>
        <w:pStyle w:val="BodyText"/>
        <w:spacing w:before="1"/>
        <w:ind w:left="392"/>
      </w:pPr>
      <w:r>
        <w:rPr>
          <w:w w:val="110"/>
        </w:rPr>
        <w:t>Emphasise the importance of starting immediately and sticking to the timeline.</w:t>
      </w:r>
    </w:p>
    <w:p>
      <w:pPr>
        <w:pStyle w:val="BodyText"/>
        <w:rPr>
          <w:sz w:val="24"/>
        </w:rPr>
      </w:pPr>
    </w:p>
    <w:p>
      <w:pPr>
        <w:pStyle w:val="BodyText"/>
        <w:rPr>
          <w:sz w:val="24"/>
        </w:rPr>
      </w:pPr>
    </w:p>
    <w:p>
      <w:pPr>
        <w:pStyle w:val="BodyText"/>
        <w:spacing w:before="4"/>
        <w:rPr>
          <w:sz w:val="19"/>
        </w:rPr>
      </w:pPr>
    </w:p>
    <w:p>
      <w:pPr>
        <w:pStyle w:val="Heading3"/>
      </w:pPr>
      <w:bookmarkStart w:name="_TOC_250007" w:id="41"/>
      <w:bookmarkEnd w:id="41"/>
      <w:r>
        <w:rPr>
          <w:w w:val="105"/>
        </w:rPr>
        <w:t>Monitoring Performance</w:t>
      </w:r>
    </w:p>
    <w:p>
      <w:pPr>
        <w:pStyle w:val="BodyText"/>
        <w:spacing w:before="118"/>
        <w:ind w:left="392" w:right="674"/>
      </w:pPr>
      <w:r>
        <w:rPr>
          <w:w w:val="110"/>
        </w:rPr>
        <w:t>During marking you are required to monitor trends in candidate performance and keep your NAF informed of these. The NAF will be using a range of research and data tools to ensure that results are within expected boundaries.</w:t>
      </w:r>
    </w:p>
    <w:p>
      <w:pPr>
        <w:pStyle w:val="BodyText"/>
        <w:rPr>
          <w:sz w:val="21"/>
        </w:rPr>
      </w:pPr>
    </w:p>
    <w:p>
      <w:pPr>
        <w:pStyle w:val="BodyText"/>
        <w:ind w:left="392" w:right="608"/>
      </w:pPr>
      <w:r>
        <w:rPr>
          <w:w w:val="110"/>
        </w:rPr>
        <w:t>Throughout marking there will be a process in place for you and the NAF to monitor the results daily to ensure they are within expectations. The monitoring requires all markers to enter their first 30 results </w:t>
      </w:r>
      <w:r>
        <w:rPr>
          <w:w w:val="110"/>
          <w:u w:val="thick"/>
        </w:rPr>
        <w:t>as soon as possible</w:t>
      </w:r>
      <w:r>
        <w:rPr>
          <w:w w:val="110"/>
        </w:rPr>
        <w:t>. Double entry MUST NOT take place at this stage.</w:t>
      </w:r>
    </w:p>
    <w:p>
      <w:pPr>
        <w:pStyle w:val="BodyText"/>
        <w:spacing w:before="10"/>
        <w:rPr>
          <w:sz w:val="12"/>
        </w:rPr>
      </w:pPr>
    </w:p>
    <w:p>
      <w:pPr>
        <w:pStyle w:val="BodyText"/>
        <w:spacing w:before="92"/>
        <w:ind w:left="392" w:right="769"/>
      </w:pPr>
      <w:r>
        <w:rPr>
          <w:w w:val="110"/>
        </w:rPr>
        <w:t>To ensure appropriate sampling occurs, each marker should begin their assessment in a different part of the country by starting on a different result page AND continuing from this page.</w:t>
      </w:r>
    </w:p>
    <w:p>
      <w:pPr>
        <w:pStyle w:val="BodyText"/>
        <w:spacing w:before="10"/>
        <w:rPr>
          <w:sz w:val="20"/>
        </w:rPr>
      </w:pPr>
    </w:p>
    <w:p>
      <w:pPr>
        <w:pStyle w:val="BodyText"/>
        <w:ind w:left="392"/>
      </w:pPr>
      <w:r>
        <w:rPr>
          <w:w w:val="110"/>
        </w:rPr>
        <w:t>Initial results must be entered as soon as possible after the marking is carried out.</w:t>
      </w:r>
    </w:p>
    <w:p>
      <w:pPr>
        <w:pStyle w:val="BodyText"/>
        <w:spacing w:before="9"/>
        <w:rPr>
          <w:sz w:val="20"/>
        </w:rPr>
      </w:pPr>
    </w:p>
    <w:p>
      <w:pPr>
        <w:pStyle w:val="BodyText"/>
        <w:ind w:left="392" w:right="769"/>
      </w:pPr>
      <w:r>
        <w:rPr>
          <w:w w:val="110"/>
        </w:rPr>
        <w:t>After</w:t>
      </w:r>
      <w:r>
        <w:rPr>
          <w:spacing w:val="-13"/>
          <w:w w:val="110"/>
        </w:rPr>
        <w:t> </w:t>
      </w:r>
      <w:r>
        <w:rPr>
          <w:w w:val="110"/>
        </w:rPr>
        <w:t>the</w:t>
      </w:r>
      <w:r>
        <w:rPr>
          <w:spacing w:val="-14"/>
          <w:w w:val="110"/>
        </w:rPr>
        <w:t> </w:t>
      </w:r>
      <w:r>
        <w:rPr>
          <w:w w:val="110"/>
        </w:rPr>
        <w:t>panel</w:t>
      </w:r>
      <w:r>
        <w:rPr>
          <w:spacing w:val="-13"/>
          <w:w w:val="110"/>
        </w:rPr>
        <w:t> </w:t>
      </w:r>
      <w:r>
        <w:rPr>
          <w:w w:val="110"/>
        </w:rPr>
        <w:t>Marker</w:t>
      </w:r>
      <w:r>
        <w:rPr>
          <w:spacing w:val="-13"/>
          <w:w w:val="110"/>
        </w:rPr>
        <w:t> </w:t>
      </w:r>
      <w:r>
        <w:rPr>
          <w:w w:val="110"/>
        </w:rPr>
        <w:t>Meeting(s)</w:t>
      </w:r>
      <w:r>
        <w:rPr>
          <w:spacing w:val="-13"/>
          <w:w w:val="110"/>
        </w:rPr>
        <w:t> </w:t>
      </w:r>
      <w:r>
        <w:rPr>
          <w:w w:val="110"/>
        </w:rPr>
        <w:t>the</w:t>
      </w:r>
      <w:r>
        <w:rPr>
          <w:spacing w:val="-15"/>
          <w:w w:val="110"/>
        </w:rPr>
        <w:t> </w:t>
      </w:r>
      <w:r>
        <w:rPr>
          <w:w w:val="110"/>
        </w:rPr>
        <w:t>first</w:t>
      </w:r>
      <w:r>
        <w:rPr>
          <w:spacing w:val="-12"/>
          <w:w w:val="110"/>
        </w:rPr>
        <w:t> </w:t>
      </w:r>
      <w:r>
        <w:rPr>
          <w:w w:val="110"/>
        </w:rPr>
        <w:t>check</w:t>
      </w:r>
      <w:r>
        <w:rPr>
          <w:spacing w:val="-13"/>
          <w:w w:val="110"/>
        </w:rPr>
        <w:t> </w:t>
      </w:r>
      <w:r>
        <w:rPr>
          <w:w w:val="110"/>
        </w:rPr>
        <w:t>mark</w:t>
      </w:r>
      <w:r>
        <w:rPr>
          <w:spacing w:val="-13"/>
          <w:w w:val="110"/>
        </w:rPr>
        <w:t> </w:t>
      </w:r>
      <w:r>
        <w:rPr>
          <w:w w:val="110"/>
        </w:rPr>
        <w:t>should</w:t>
      </w:r>
      <w:r>
        <w:rPr>
          <w:spacing w:val="-14"/>
          <w:w w:val="110"/>
        </w:rPr>
        <w:t> </w:t>
      </w:r>
      <w:r>
        <w:rPr>
          <w:w w:val="110"/>
        </w:rPr>
        <w:t>occur</w:t>
      </w:r>
      <w:r>
        <w:rPr>
          <w:spacing w:val="-13"/>
          <w:w w:val="110"/>
        </w:rPr>
        <w:t> </w:t>
      </w:r>
      <w:r>
        <w:rPr>
          <w:w w:val="110"/>
        </w:rPr>
        <w:t>within</w:t>
      </w:r>
      <w:r>
        <w:rPr>
          <w:spacing w:val="-10"/>
          <w:w w:val="110"/>
        </w:rPr>
        <w:t> </w:t>
      </w:r>
      <w:r>
        <w:rPr>
          <w:w w:val="110"/>
        </w:rPr>
        <w:t>the</w:t>
      </w:r>
      <w:r>
        <w:rPr>
          <w:spacing w:val="-16"/>
          <w:w w:val="110"/>
        </w:rPr>
        <w:t> </w:t>
      </w:r>
      <w:r>
        <w:rPr>
          <w:w w:val="110"/>
        </w:rPr>
        <w:t>first</w:t>
      </w:r>
      <w:r>
        <w:rPr>
          <w:spacing w:val="-11"/>
          <w:w w:val="110"/>
        </w:rPr>
        <w:t> </w:t>
      </w:r>
      <w:r>
        <w:rPr>
          <w:w w:val="110"/>
        </w:rPr>
        <w:t>week</w:t>
      </w:r>
      <w:r>
        <w:rPr>
          <w:spacing w:val="-13"/>
          <w:w w:val="110"/>
        </w:rPr>
        <w:t> </w:t>
      </w:r>
      <w:r>
        <w:rPr>
          <w:w w:val="110"/>
        </w:rPr>
        <w:t>of marking.</w:t>
      </w:r>
    </w:p>
    <w:p>
      <w:pPr>
        <w:pStyle w:val="BodyText"/>
        <w:spacing w:before="11"/>
        <w:rPr>
          <w:sz w:val="20"/>
        </w:rPr>
      </w:pPr>
    </w:p>
    <w:p>
      <w:pPr>
        <w:pStyle w:val="BodyText"/>
        <w:ind w:left="392" w:right="514"/>
      </w:pPr>
      <w:r>
        <w:rPr>
          <w:w w:val="110"/>
        </w:rPr>
        <w:t>It is important that you factor the results of the check assessment into the overview you have of the results as you complete the check marking. You and your NAF will then check the results and discuss the outcome before further marking occurs.</w:t>
      </w:r>
    </w:p>
    <w:p>
      <w:pPr>
        <w:spacing w:after="0"/>
        <w:sectPr>
          <w:pgSz w:w="11910" w:h="16840"/>
          <w:pgMar w:header="0" w:footer="297" w:top="760" w:bottom="480" w:left="740" w:right="580"/>
        </w:sectPr>
      </w:pPr>
    </w:p>
    <w:p>
      <w:pPr>
        <w:pStyle w:val="BodyText"/>
        <w:spacing w:before="74"/>
        <w:ind w:left="392"/>
      </w:pPr>
      <w:r>
        <w:rPr>
          <w:w w:val="120"/>
        </w:rPr>
        <w:t>Spread of Performance</w:t>
      </w:r>
    </w:p>
    <w:p>
      <w:pPr>
        <w:pStyle w:val="BodyText"/>
        <w:spacing w:before="119"/>
        <w:ind w:left="392" w:right="674"/>
      </w:pPr>
      <w:r>
        <w:rPr>
          <w:w w:val="110"/>
        </w:rPr>
        <w:t>To access the Spread of Performance (SOP) shown below, you will need to select the SOP button at the top of your Panel details page on the web.</w:t>
      </w:r>
    </w:p>
    <w:p>
      <w:pPr>
        <w:pStyle w:val="BodyText"/>
      </w:pPr>
    </w:p>
    <w:p>
      <w:pPr>
        <w:pStyle w:val="BodyText"/>
        <w:ind w:left="3447" w:right="3607"/>
        <w:jc w:val="center"/>
      </w:pPr>
      <w:r>
        <w:rPr>
          <w:w w:val="120"/>
        </w:rPr>
        <w:t>Spread of Performance for 91339 2017</w:t>
      </w:r>
    </w:p>
    <w:tbl>
      <w:tblPr>
        <w:tblW w:w="0" w:type="auto"/>
        <w:jc w:val="left"/>
        <w:tblInd w:w="827"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CellMar>
          <w:top w:w="0" w:type="dxa"/>
          <w:left w:w="0" w:type="dxa"/>
          <w:bottom w:w="0" w:type="dxa"/>
          <w:right w:w="0" w:type="dxa"/>
        </w:tblCellMar>
        <w:tblLook w:val="01E0"/>
      </w:tblPr>
      <w:tblGrid>
        <w:gridCol w:w="1577"/>
        <w:gridCol w:w="2028"/>
        <w:gridCol w:w="2551"/>
        <w:gridCol w:w="2551"/>
      </w:tblGrid>
      <w:tr>
        <w:trPr>
          <w:trHeight w:val="580" w:hRule="atLeast"/>
        </w:trPr>
        <w:tc>
          <w:tcPr>
            <w:tcW w:w="1577" w:type="dxa"/>
            <w:tcBorders>
              <w:bottom w:val="nil"/>
              <w:right w:val="single" w:sz="12" w:space="0" w:color="FFFFFF"/>
            </w:tcBorders>
            <w:shd w:val="clear" w:color="auto" w:fill="A7CDFD"/>
          </w:tcPr>
          <w:p>
            <w:pPr>
              <w:pStyle w:val="TableParagraph"/>
              <w:spacing w:before="105"/>
              <w:ind w:left="105" w:right="49"/>
              <w:rPr>
                <w:sz w:val="18"/>
              </w:rPr>
            </w:pPr>
            <w:r>
              <w:rPr>
                <w:w w:val="115"/>
                <w:sz w:val="18"/>
              </w:rPr>
              <w:t>Level of Performance</w:t>
            </w:r>
          </w:p>
        </w:tc>
        <w:tc>
          <w:tcPr>
            <w:tcW w:w="2028" w:type="dxa"/>
            <w:tcBorders>
              <w:left w:val="single" w:sz="12" w:space="0" w:color="FFFFFF"/>
              <w:bottom w:val="nil"/>
              <w:right w:val="single" w:sz="12" w:space="0" w:color="FFFFFF"/>
            </w:tcBorders>
            <w:shd w:val="clear" w:color="auto" w:fill="A7CDFD"/>
          </w:tcPr>
          <w:p>
            <w:pPr>
              <w:pStyle w:val="TableParagraph"/>
              <w:spacing w:before="1"/>
              <w:rPr>
                <w:sz w:val="18"/>
              </w:rPr>
            </w:pPr>
          </w:p>
          <w:p>
            <w:pPr>
              <w:pStyle w:val="TableParagraph"/>
              <w:ind w:left="68"/>
              <w:rPr>
                <w:sz w:val="18"/>
              </w:rPr>
            </w:pPr>
            <w:r>
              <w:rPr>
                <w:w w:val="120"/>
                <w:sz w:val="18"/>
              </w:rPr>
              <w:t>Candidates</w:t>
            </w:r>
          </w:p>
        </w:tc>
        <w:tc>
          <w:tcPr>
            <w:tcW w:w="2551" w:type="dxa"/>
            <w:tcBorders>
              <w:left w:val="single" w:sz="12" w:space="0" w:color="FFFFFF"/>
              <w:bottom w:val="nil"/>
              <w:right w:val="single" w:sz="12" w:space="0" w:color="FFFFFF"/>
            </w:tcBorders>
            <w:shd w:val="clear" w:color="auto" w:fill="A7CDFD"/>
          </w:tcPr>
          <w:p>
            <w:pPr>
              <w:pStyle w:val="TableParagraph"/>
              <w:spacing w:before="1"/>
              <w:rPr>
                <w:sz w:val="18"/>
              </w:rPr>
            </w:pPr>
          </w:p>
          <w:p>
            <w:pPr>
              <w:pStyle w:val="TableParagraph"/>
              <w:ind w:left="66"/>
              <w:rPr>
                <w:sz w:val="18"/>
              </w:rPr>
            </w:pPr>
            <w:r>
              <w:rPr>
                <w:w w:val="115"/>
                <w:sz w:val="18"/>
              </w:rPr>
              <w:t>SoP %</w:t>
            </w:r>
          </w:p>
        </w:tc>
        <w:tc>
          <w:tcPr>
            <w:tcW w:w="2551" w:type="dxa"/>
            <w:tcBorders>
              <w:left w:val="single" w:sz="12" w:space="0" w:color="FFFFFF"/>
              <w:bottom w:val="nil"/>
            </w:tcBorders>
            <w:shd w:val="clear" w:color="auto" w:fill="A7CDFD"/>
          </w:tcPr>
          <w:p>
            <w:pPr>
              <w:pStyle w:val="TableParagraph"/>
              <w:spacing w:before="1"/>
              <w:rPr>
                <w:sz w:val="18"/>
              </w:rPr>
            </w:pPr>
          </w:p>
          <w:p>
            <w:pPr>
              <w:pStyle w:val="TableParagraph"/>
              <w:ind w:left="66"/>
              <w:rPr>
                <w:sz w:val="18"/>
              </w:rPr>
            </w:pPr>
            <w:r>
              <w:rPr>
                <w:w w:val="115"/>
                <w:sz w:val="18"/>
              </w:rPr>
              <w:t>PEP (Range) %</w:t>
            </w:r>
          </w:p>
        </w:tc>
      </w:tr>
      <w:tr>
        <w:trPr>
          <w:trHeight w:val="297" w:hRule="atLeast"/>
        </w:trPr>
        <w:tc>
          <w:tcPr>
            <w:tcW w:w="1577" w:type="dxa"/>
            <w:tcBorders>
              <w:top w:val="nil"/>
              <w:bottom w:val="nil"/>
              <w:right w:val="single" w:sz="12" w:space="0" w:color="FFFFFF"/>
            </w:tcBorders>
          </w:tcPr>
          <w:p>
            <w:pPr>
              <w:pStyle w:val="TableParagraph"/>
              <w:spacing w:before="43"/>
              <w:ind w:left="119"/>
              <w:rPr>
                <w:sz w:val="18"/>
              </w:rPr>
            </w:pPr>
            <w:r>
              <w:rPr>
                <w:w w:val="109"/>
                <w:sz w:val="18"/>
              </w:rPr>
              <w:t>E</w:t>
            </w:r>
          </w:p>
        </w:tc>
        <w:tc>
          <w:tcPr>
            <w:tcW w:w="2028" w:type="dxa"/>
            <w:tcBorders>
              <w:top w:val="nil"/>
              <w:left w:val="single" w:sz="12" w:space="0" w:color="FFFFFF"/>
              <w:bottom w:val="nil"/>
              <w:right w:val="single" w:sz="12" w:space="0" w:color="FFFFFF"/>
            </w:tcBorders>
          </w:tcPr>
          <w:p>
            <w:pPr>
              <w:pStyle w:val="TableParagraph"/>
              <w:spacing w:before="43"/>
              <w:ind w:left="82"/>
              <w:rPr>
                <w:sz w:val="18"/>
              </w:rPr>
            </w:pPr>
            <w:r>
              <w:rPr>
                <w:w w:val="110"/>
                <w:sz w:val="18"/>
              </w:rPr>
              <w:t>56</w:t>
            </w:r>
          </w:p>
        </w:tc>
        <w:tc>
          <w:tcPr>
            <w:tcW w:w="2551" w:type="dxa"/>
            <w:tcBorders>
              <w:top w:val="nil"/>
              <w:left w:val="single" w:sz="12" w:space="0" w:color="FFFFFF"/>
              <w:bottom w:val="nil"/>
              <w:right w:val="single" w:sz="12" w:space="0" w:color="FFFFFF"/>
            </w:tcBorders>
          </w:tcPr>
          <w:p>
            <w:pPr>
              <w:pStyle w:val="TableParagraph"/>
              <w:spacing w:before="43"/>
              <w:ind w:left="80"/>
              <w:rPr>
                <w:sz w:val="18"/>
              </w:rPr>
            </w:pPr>
            <w:r>
              <w:rPr>
                <w:w w:val="110"/>
                <w:sz w:val="18"/>
              </w:rPr>
              <w:t>10.3</w:t>
            </w:r>
          </w:p>
        </w:tc>
        <w:tc>
          <w:tcPr>
            <w:tcW w:w="2551" w:type="dxa"/>
            <w:tcBorders>
              <w:top w:val="nil"/>
              <w:left w:val="single" w:sz="12" w:space="0" w:color="FFFFFF"/>
              <w:bottom w:val="nil"/>
            </w:tcBorders>
          </w:tcPr>
          <w:p>
            <w:pPr>
              <w:pStyle w:val="TableParagraph"/>
              <w:spacing w:before="43"/>
              <w:ind w:left="80"/>
              <w:rPr>
                <w:sz w:val="18"/>
              </w:rPr>
            </w:pPr>
            <w:r>
              <w:rPr>
                <w:w w:val="105"/>
                <w:sz w:val="18"/>
              </w:rPr>
              <w:t>(7 - 13)</w:t>
            </w:r>
          </w:p>
        </w:tc>
      </w:tr>
      <w:tr>
        <w:trPr>
          <w:trHeight w:val="235" w:hRule="atLeast"/>
        </w:trPr>
        <w:tc>
          <w:tcPr>
            <w:tcW w:w="1577" w:type="dxa"/>
            <w:tcBorders>
              <w:top w:val="nil"/>
              <w:bottom w:val="nil"/>
              <w:right w:val="single" w:sz="12" w:space="0" w:color="FFFFFF"/>
            </w:tcBorders>
            <w:shd w:val="clear" w:color="auto" w:fill="DDDDFF"/>
          </w:tcPr>
          <w:p>
            <w:pPr>
              <w:pStyle w:val="TableParagraph"/>
              <w:spacing w:line="201" w:lineRule="exact" w:before="14"/>
              <w:ind w:left="119"/>
              <w:rPr>
                <w:sz w:val="18"/>
              </w:rPr>
            </w:pPr>
            <w:r>
              <w:rPr>
                <w:w w:val="93"/>
                <w:sz w:val="18"/>
              </w:rPr>
              <w:t>M</w:t>
            </w:r>
          </w:p>
        </w:tc>
        <w:tc>
          <w:tcPr>
            <w:tcW w:w="2028" w:type="dxa"/>
            <w:tcBorders>
              <w:top w:val="nil"/>
              <w:left w:val="single" w:sz="12" w:space="0" w:color="FFFFFF"/>
              <w:bottom w:val="nil"/>
              <w:right w:val="single" w:sz="12" w:space="0" w:color="FFFFFF"/>
            </w:tcBorders>
            <w:shd w:val="clear" w:color="auto" w:fill="DDDDFF"/>
          </w:tcPr>
          <w:p>
            <w:pPr>
              <w:pStyle w:val="TableParagraph"/>
              <w:spacing w:line="201" w:lineRule="exact" w:before="14"/>
              <w:ind w:left="83"/>
              <w:rPr>
                <w:sz w:val="18"/>
              </w:rPr>
            </w:pPr>
            <w:r>
              <w:rPr>
                <w:w w:val="110"/>
                <w:sz w:val="18"/>
              </w:rPr>
              <w:t>117</w:t>
            </w:r>
          </w:p>
        </w:tc>
        <w:tc>
          <w:tcPr>
            <w:tcW w:w="2551" w:type="dxa"/>
            <w:tcBorders>
              <w:top w:val="nil"/>
              <w:left w:val="single" w:sz="12" w:space="0" w:color="FFFFFF"/>
              <w:bottom w:val="nil"/>
              <w:right w:val="single" w:sz="12" w:space="0" w:color="FFFFFF"/>
            </w:tcBorders>
            <w:shd w:val="clear" w:color="auto" w:fill="DDDDFF"/>
          </w:tcPr>
          <w:p>
            <w:pPr>
              <w:pStyle w:val="TableParagraph"/>
              <w:spacing w:line="201" w:lineRule="exact" w:before="14"/>
              <w:ind w:left="80"/>
              <w:rPr>
                <w:sz w:val="18"/>
              </w:rPr>
            </w:pPr>
            <w:r>
              <w:rPr>
                <w:w w:val="110"/>
                <w:sz w:val="18"/>
              </w:rPr>
              <w:t>21.5</w:t>
            </w:r>
          </w:p>
        </w:tc>
        <w:tc>
          <w:tcPr>
            <w:tcW w:w="2551" w:type="dxa"/>
            <w:tcBorders>
              <w:top w:val="nil"/>
              <w:left w:val="single" w:sz="12" w:space="0" w:color="FFFFFF"/>
              <w:bottom w:val="nil"/>
            </w:tcBorders>
            <w:shd w:val="clear" w:color="auto" w:fill="DDDDFF"/>
          </w:tcPr>
          <w:p>
            <w:pPr>
              <w:pStyle w:val="TableParagraph"/>
              <w:spacing w:line="201" w:lineRule="exact" w:before="14"/>
              <w:ind w:left="81"/>
              <w:rPr>
                <w:sz w:val="18"/>
              </w:rPr>
            </w:pPr>
            <w:r>
              <w:rPr>
                <w:w w:val="105"/>
                <w:sz w:val="18"/>
              </w:rPr>
              <w:t>(19 - 25)</w:t>
            </w:r>
          </w:p>
        </w:tc>
      </w:tr>
      <w:tr>
        <w:trPr>
          <w:trHeight w:val="297" w:hRule="atLeast"/>
        </w:trPr>
        <w:tc>
          <w:tcPr>
            <w:tcW w:w="1577" w:type="dxa"/>
            <w:tcBorders>
              <w:top w:val="nil"/>
              <w:bottom w:val="nil"/>
              <w:right w:val="single" w:sz="12" w:space="0" w:color="FFFFFF"/>
            </w:tcBorders>
          </w:tcPr>
          <w:p>
            <w:pPr>
              <w:pStyle w:val="TableParagraph"/>
              <w:spacing w:before="45"/>
              <w:ind w:left="119"/>
              <w:rPr>
                <w:sz w:val="18"/>
              </w:rPr>
            </w:pPr>
            <w:r>
              <w:rPr>
                <w:w w:val="92"/>
                <w:sz w:val="18"/>
              </w:rPr>
              <w:t>A</w:t>
            </w:r>
          </w:p>
        </w:tc>
        <w:tc>
          <w:tcPr>
            <w:tcW w:w="2028" w:type="dxa"/>
            <w:tcBorders>
              <w:top w:val="nil"/>
              <w:left w:val="single" w:sz="12" w:space="0" w:color="FFFFFF"/>
              <w:bottom w:val="nil"/>
              <w:right w:val="single" w:sz="12" w:space="0" w:color="FFFFFF"/>
            </w:tcBorders>
          </w:tcPr>
          <w:p>
            <w:pPr>
              <w:pStyle w:val="TableParagraph"/>
              <w:spacing w:before="45"/>
              <w:ind w:left="82"/>
              <w:rPr>
                <w:sz w:val="18"/>
              </w:rPr>
            </w:pPr>
            <w:r>
              <w:rPr>
                <w:w w:val="110"/>
                <w:sz w:val="18"/>
              </w:rPr>
              <w:t>242</w:t>
            </w:r>
          </w:p>
        </w:tc>
        <w:tc>
          <w:tcPr>
            <w:tcW w:w="2551" w:type="dxa"/>
            <w:tcBorders>
              <w:top w:val="nil"/>
              <w:left w:val="single" w:sz="12" w:space="0" w:color="FFFFFF"/>
              <w:bottom w:val="nil"/>
              <w:right w:val="single" w:sz="12" w:space="0" w:color="FFFFFF"/>
            </w:tcBorders>
          </w:tcPr>
          <w:p>
            <w:pPr>
              <w:pStyle w:val="TableParagraph"/>
              <w:spacing w:before="45"/>
              <w:ind w:left="80"/>
              <w:rPr>
                <w:sz w:val="18"/>
              </w:rPr>
            </w:pPr>
            <w:r>
              <w:rPr>
                <w:w w:val="110"/>
                <w:sz w:val="18"/>
              </w:rPr>
              <w:t>44.5</w:t>
            </w:r>
          </w:p>
        </w:tc>
        <w:tc>
          <w:tcPr>
            <w:tcW w:w="2551" w:type="dxa"/>
            <w:tcBorders>
              <w:top w:val="nil"/>
              <w:left w:val="single" w:sz="12" w:space="0" w:color="FFFFFF"/>
              <w:bottom w:val="nil"/>
            </w:tcBorders>
          </w:tcPr>
          <w:p>
            <w:pPr>
              <w:pStyle w:val="TableParagraph"/>
              <w:spacing w:before="45"/>
              <w:ind w:left="80"/>
              <w:rPr>
                <w:sz w:val="18"/>
              </w:rPr>
            </w:pPr>
            <w:r>
              <w:rPr>
                <w:w w:val="105"/>
                <w:sz w:val="18"/>
              </w:rPr>
              <w:t>(40 - 46)</w:t>
            </w:r>
          </w:p>
        </w:tc>
      </w:tr>
      <w:tr>
        <w:trPr>
          <w:trHeight w:val="235" w:hRule="atLeast"/>
        </w:trPr>
        <w:tc>
          <w:tcPr>
            <w:tcW w:w="1577" w:type="dxa"/>
            <w:tcBorders>
              <w:top w:val="nil"/>
              <w:bottom w:val="nil"/>
              <w:right w:val="single" w:sz="12" w:space="0" w:color="FFFFFF"/>
            </w:tcBorders>
            <w:shd w:val="clear" w:color="auto" w:fill="DDDDFF"/>
          </w:tcPr>
          <w:p>
            <w:pPr>
              <w:pStyle w:val="TableParagraph"/>
              <w:spacing w:line="201" w:lineRule="exact" w:before="14"/>
              <w:ind w:left="119"/>
              <w:rPr>
                <w:sz w:val="18"/>
              </w:rPr>
            </w:pPr>
            <w:r>
              <w:rPr>
                <w:w w:val="99"/>
                <w:sz w:val="18"/>
              </w:rPr>
              <w:t>N</w:t>
            </w:r>
          </w:p>
        </w:tc>
        <w:tc>
          <w:tcPr>
            <w:tcW w:w="2028" w:type="dxa"/>
            <w:tcBorders>
              <w:top w:val="nil"/>
              <w:left w:val="single" w:sz="12" w:space="0" w:color="FFFFFF"/>
              <w:bottom w:val="nil"/>
              <w:right w:val="single" w:sz="12" w:space="0" w:color="FFFFFF"/>
            </w:tcBorders>
            <w:shd w:val="clear" w:color="auto" w:fill="DDDDFF"/>
          </w:tcPr>
          <w:p>
            <w:pPr>
              <w:pStyle w:val="TableParagraph"/>
              <w:spacing w:line="201" w:lineRule="exact" w:before="14"/>
              <w:ind w:left="83"/>
              <w:rPr>
                <w:sz w:val="18"/>
              </w:rPr>
            </w:pPr>
            <w:r>
              <w:rPr>
                <w:w w:val="110"/>
                <w:sz w:val="18"/>
              </w:rPr>
              <w:t>129</w:t>
            </w:r>
          </w:p>
        </w:tc>
        <w:tc>
          <w:tcPr>
            <w:tcW w:w="2551" w:type="dxa"/>
            <w:tcBorders>
              <w:top w:val="nil"/>
              <w:left w:val="single" w:sz="12" w:space="0" w:color="FFFFFF"/>
              <w:bottom w:val="nil"/>
              <w:right w:val="single" w:sz="12" w:space="0" w:color="FFFFFF"/>
            </w:tcBorders>
            <w:shd w:val="clear" w:color="auto" w:fill="DDDDFF"/>
          </w:tcPr>
          <w:p>
            <w:pPr>
              <w:pStyle w:val="TableParagraph"/>
              <w:spacing w:line="201" w:lineRule="exact" w:before="14"/>
              <w:ind w:left="80"/>
              <w:rPr>
                <w:sz w:val="18"/>
              </w:rPr>
            </w:pPr>
            <w:r>
              <w:rPr>
                <w:w w:val="110"/>
                <w:sz w:val="18"/>
              </w:rPr>
              <w:t>23.7</w:t>
            </w:r>
          </w:p>
        </w:tc>
        <w:tc>
          <w:tcPr>
            <w:tcW w:w="2551" w:type="dxa"/>
            <w:tcBorders>
              <w:top w:val="nil"/>
              <w:left w:val="single" w:sz="12" w:space="0" w:color="FFFFFF"/>
              <w:bottom w:val="nil"/>
            </w:tcBorders>
            <w:shd w:val="clear" w:color="auto" w:fill="DDDDFF"/>
          </w:tcPr>
          <w:p>
            <w:pPr>
              <w:pStyle w:val="TableParagraph"/>
              <w:spacing w:line="201" w:lineRule="exact" w:before="14"/>
              <w:ind w:left="81"/>
              <w:rPr>
                <w:sz w:val="18"/>
              </w:rPr>
            </w:pPr>
            <w:r>
              <w:rPr>
                <w:w w:val="105"/>
                <w:sz w:val="18"/>
              </w:rPr>
              <w:t>(22 - 30)</w:t>
            </w:r>
          </w:p>
        </w:tc>
      </w:tr>
      <w:tr>
        <w:trPr>
          <w:trHeight w:val="297" w:hRule="atLeast"/>
        </w:trPr>
        <w:tc>
          <w:tcPr>
            <w:tcW w:w="1577" w:type="dxa"/>
            <w:tcBorders>
              <w:top w:val="nil"/>
              <w:bottom w:val="nil"/>
              <w:right w:val="single" w:sz="12" w:space="0" w:color="FFFFFF"/>
            </w:tcBorders>
          </w:tcPr>
          <w:p>
            <w:pPr>
              <w:pStyle w:val="TableParagraph"/>
              <w:spacing w:before="45"/>
              <w:ind w:left="119"/>
              <w:rPr>
                <w:sz w:val="18"/>
              </w:rPr>
            </w:pPr>
            <w:r>
              <w:rPr>
                <w:w w:val="92"/>
                <w:sz w:val="18"/>
              </w:rPr>
              <w:t>V</w:t>
            </w:r>
          </w:p>
        </w:tc>
        <w:tc>
          <w:tcPr>
            <w:tcW w:w="2028" w:type="dxa"/>
            <w:tcBorders>
              <w:top w:val="nil"/>
              <w:left w:val="single" w:sz="12" w:space="0" w:color="FFFFFF"/>
              <w:bottom w:val="nil"/>
              <w:right w:val="single" w:sz="12" w:space="0" w:color="FFFFFF"/>
            </w:tcBorders>
          </w:tcPr>
          <w:p>
            <w:pPr>
              <w:pStyle w:val="TableParagraph"/>
              <w:spacing w:before="45"/>
              <w:ind w:left="82"/>
              <w:rPr>
                <w:sz w:val="18"/>
              </w:rPr>
            </w:pPr>
            <w:r>
              <w:rPr>
                <w:w w:val="110"/>
                <w:sz w:val="18"/>
              </w:rPr>
              <w:t>214</w:t>
            </w:r>
          </w:p>
        </w:tc>
        <w:tc>
          <w:tcPr>
            <w:tcW w:w="2551" w:type="dxa"/>
            <w:tcBorders>
              <w:top w:val="nil"/>
              <w:left w:val="single" w:sz="12" w:space="0" w:color="FFFFFF"/>
              <w:bottom w:val="nil"/>
              <w:right w:val="single" w:sz="12" w:space="0" w:color="FFFFFF"/>
            </w:tcBorders>
          </w:tcPr>
          <w:p>
            <w:pPr>
              <w:pStyle w:val="TableParagraph"/>
              <w:rPr>
                <w:sz w:val="20"/>
              </w:rPr>
            </w:pPr>
          </w:p>
        </w:tc>
        <w:tc>
          <w:tcPr>
            <w:tcW w:w="2551" w:type="dxa"/>
            <w:tcBorders>
              <w:top w:val="nil"/>
              <w:left w:val="single" w:sz="12" w:space="0" w:color="FFFFFF"/>
              <w:bottom w:val="nil"/>
            </w:tcBorders>
          </w:tcPr>
          <w:p>
            <w:pPr>
              <w:pStyle w:val="TableParagraph"/>
              <w:rPr>
                <w:sz w:val="20"/>
              </w:rPr>
            </w:pPr>
          </w:p>
        </w:tc>
      </w:tr>
      <w:tr>
        <w:trPr>
          <w:trHeight w:val="237" w:hRule="atLeast"/>
        </w:trPr>
        <w:tc>
          <w:tcPr>
            <w:tcW w:w="1577" w:type="dxa"/>
            <w:tcBorders>
              <w:top w:val="nil"/>
              <w:bottom w:val="nil"/>
              <w:right w:val="single" w:sz="12" w:space="0" w:color="FFFFFF"/>
            </w:tcBorders>
            <w:shd w:val="clear" w:color="auto" w:fill="DDDDFF"/>
          </w:tcPr>
          <w:p>
            <w:pPr>
              <w:pStyle w:val="TableParagraph"/>
              <w:spacing w:line="203" w:lineRule="exact" w:before="14"/>
              <w:ind w:left="119"/>
              <w:rPr>
                <w:sz w:val="18"/>
              </w:rPr>
            </w:pPr>
            <w:r>
              <w:rPr>
                <w:w w:val="92"/>
                <w:sz w:val="18"/>
              </w:rPr>
              <w:t>Y</w:t>
            </w:r>
          </w:p>
        </w:tc>
        <w:tc>
          <w:tcPr>
            <w:tcW w:w="2028" w:type="dxa"/>
            <w:tcBorders>
              <w:top w:val="nil"/>
              <w:left w:val="single" w:sz="12" w:space="0" w:color="FFFFFF"/>
              <w:bottom w:val="nil"/>
              <w:right w:val="single" w:sz="12" w:space="0" w:color="FFFFFF"/>
            </w:tcBorders>
            <w:shd w:val="clear" w:color="auto" w:fill="DDDDFF"/>
          </w:tcPr>
          <w:p>
            <w:pPr>
              <w:pStyle w:val="TableParagraph"/>
              <w:spacing w:line="203" w:lineRule="exact" w:before="14"/>
              <w:ind w:left="83"/>
              <w:rPr>
                <w:sz w:val="18"/>
              </w:rPr>
            </w:pPr>
            <w:r>
              <w:rPr>
                <w:w w:val="110"/>
                <w:sz w:val="18"/>
              </w:rPr>
              <w:t>59</w:t>
            </w:r>
          </w:p>
        </w:tc>
        <w:tc>
          <w:tcPr>
            <w:tcW w:w="2551" w:type="dxa"/>
            <w:tcBorders>
              <w:top w:val="nil"/>
              <w:left w:val="single" w:sz="12" w:space="0" w:color="FFFFFF"/>
              <w:bottom w:val="nil"/>
              <w:right w:val="single" w:sz="12" w:space="0" w:color="FFFFFF"/>
            </w:tcBorders>
            <w:shd w:val="clear" w:color="auto" w:fill="DDDDFF"/>
          </w:tcPr>
          <w:p>
            <w:pPr>
              <w:pStyle w:val="TableParagraph"/>
              <w:rPr>
                <w:sz w:val="16"/>
              </w:rPr>
            </w:pPr>
          </w:p>
        </w:tc>
        <w:tc>
          <w:tcPr>
            <w:tcW w:w="2551" w:type="dxa"/>
            <w:tcBorders>
              <w:top w:val="nil"/>
              <w:left w:val="single" w:sz="12" w:space="0" w:color="FFFFFF"/>
              <w:bottom w:val="nil"/>
            </w:tcBorders>
            <w:shd w:val="clear" w:color="auto" w:fill="DDDDFF"/>
          </w:tcPr>
          <w:p>
            <w:pPr>
              <w:pStyle w:val="TableParagraph"/>
              <w:rPr>
                <w:sz w:val="16"/>
              </w:rPr>
            </w:pPr>
          </w:p>
        </w:tc>
      </w:tr>
      <w:tr>
        <w:trPr>
          <w:trHeight w:val="296" w:hRule="atLeast"/>
        </w:trPr>
        <w:tc>
          <w:tcPr>
            <w:tcW w:w="1577" w:type="dxa"/>
            <w:tcBorders>
              <w:top w:val="nil"/>
              <w:bottom w:val="single" w:sz="18" w:space="0" w:color="A7CDFD"/>
              <w:right w:val="single" w:sz="12" w:space="0" w:color="FFFFFF"/>
            </w:tcBorders>
          </w:tcPr>
          <w:p>
            <w:pPr>
              <w:pStyle w:val="TableParagraph"/>
              <w:spacing w:before="45"/>
              <w:ind w:left="119"/>
              <w:rPr>
                <w:sz w:val="18"/>
              </w:rPr>
            </w:pPr>
            <w:r>
              <w:rPr>
                <w:w w:val="99"/>
                <w:sz w:val="18"/>
              </w:rPr>
              <w:t>Z</w:t>
            </w:r>
          </w:p>
        </w:tc>
        <w:tc>
          <w:tcPr>
            <w:tcW w:w="2028" w:type="dxa"/>
            <w:tcBorders>
              <w:top w:val="nil"/>
              <w:left w:val="single" w:sz="12" w:space="0" w:color="FFFFFF"/>
              <w:bottom w:val="single" w:sz="18" w:space="0" w:color="A7CDFD"/>
              <w:right w:val="single" w:sz="12" w:space="0" w:color="FFFFFF"/>
            </w:tcBorders>
          </w:tcPr>
          <w:p>
            <w:pPr>
              <w:pStyle w:val="TableParagraph"/>
              <w:spacing w:before="45"/>
              <w:ind w:left="83"/>
              <w:rPr>
                <w:sz w:val="18"/>
              </w:rPr>
            </w:pPr>
            <w:r>
              <w:rPr>
                <w:w w:val="111"/>
                <w:sz w:val="18"/>
              </w:rPr>
              <w:t>4</w:t>
            </w:r>
          </w:p>
        </w:tc>
        <w:tc>
          <w:tcPr>
            <w:tcW w:w="2551" w:type="dxa"/>
            <w:tcBorders>
              <w:top w:val="nil"/>
              <w:left w:val="single" w:sz="12" w:space="0" w:color="FFFFFF"/>
              <w:bottom w:val="nil"/>
              <w:right w:val="single" w:sz="12" w:space="0" w:color="FFFFFF"/>
            </w:tcBorders>
          </w:tcPr>
          <w:p>
            <w:pPr>
              <w:pStyle w:val="TableParagraph"/>
              <w:rPr>
                <w:sz w:val="20"/>
              </w:rPr>
            </w:pPr>
          </w:p>
        </w:tc>
        <w:tc>
          <w:tcPr>
            <w:tcW w:w="2551" w:type="dxa"/>
            <w:tcBorders>
              <w:top w:val="nil"/>
              <w:left w:val="single" w:sz="12" w:space="0" w:color="FFFFFF"/>
              <w:bottom w:val="nil"/>
            </w:tcBorders>
          </w:tcPr>
          <w:p>
            <w:pPr>
              <w:pStyle w:val="TableParagraph"/>
              <w:rPr>
                <w:sz w:val="20"/>
              </w:rPr>
            </w:pPr>
          </w:p>
        </w:tc>
      </w:tr>
      <w:tr>
        <w:trPr>
          <w:trHeight w:val="443" w:hRule="atLeast"/>
        </w:trPr>
        <w:tc>
          <w:tcPr>
            <w:tcW w:w="1577" w:type="dxa"/>
            <w:tcBorders>
              <w:top w:val="single" w:sz="18" w:space="0" w:color="A7CDFD"/>
              <w:bottom w:val="nil"/>
              <w:right w:val="single" w:sz="12" w:space="0" w:color="FFFFFF"/>
            </w:tcBorders>
            <w:shd w:val="clear" w:color="auto" w:fill="DDDDFF"/>
          </w:tcPr>
          <w:p>
            <w:pPr>
              <w:pStyle w:val="TableParagraph"/>
              <w:spacing w:line="206" w:lineRule="exact" w:before="19"/>
              <w:ind w:left="119" w:right="49"/>
              <w:rPr>
                <w:sz w:val="18"/>
              </w:rPr>
            </w:pPr>
            <w:r>
              <w:rPr>
                <w:w w:val="125"/>
                <w:sz w:val="18"/>
              </w:rPr>
              <w:t>Results </w:t>
            </w:r>
            <w:r>
              <w:rPr>
                <w:w w:val="120"/>
                <w:sz w:val="18"/>
              </w:rPr>
              <w:t>captured</w:t>
            </w:r>
          </w:p>
        </w:tc>
        <w:tc>
          <w:tcPr>
            <w:tcW w:w="2028" w:type="dxa"/>
            <w:tcBorders>
              <w:top w:val="single" w:sz="18" w:space="0" w:color="A7CDFD"/>
              <w:left w:val="single" w:sz="12" w:space="0" w:color="FFFFFF"/>
              <w:bottom w:val="nil"/>
              <w:right w:val="single" w:sz="12" w:space="0" w:color="FFFFFF"/>
            </w:tcBorders>
            <w:shd w:val="clear" w:color="auto" w:fill="DDDDFF"/>
          </w:tcPr>
          <w:p>
            <w:pPr>
              <w:pStyle w:val="TableParagraph"/>
              <w:spacing w:before="119"/>
              <w:ind w:left="83"/>
              <w:rPr>
                <w:sz w:val="18"/>
              </w:rPr>
            </w:pPr>
            <w:r>
              <w:rPr>
                <w:w w:val="110"/>
                <w:sz w:val="18"/>
              </w:rPr>
              <w:t>821</w:t>
            </w:r>
          </w:p>
        </w:tc>
        <w:tc>
          <w:tcPr>
            <w:tcW w:w="2551" w:type="dxa"/>
            <w:tcBorders>
              <w:top w:val="nil"/>
              <w:left w:val="single" w:sz="12" w:space="0" w:color="FFFFFF"/>
              <w:bottom w:val="nil"/>
              <w:right w:val="single" w:sz="12" w:space="0" w:color="FFFFFF"/>
            </w:tcBorders>
            <w:shd w:val="clear" w:color="auto" w:fill="DDDDFF"/>
          </w:tcPr>
          <w:p>
            <w:pPr>
              <w:pStyle w:val="TableParagraph"/>
              <w:rPr>
                <w:sz w:val="20"/>
              </w:rPr>
            </w:pPr>
          </w:p>
        </w:tc>
        <w:tc>
          <w:tcPr>
            <w:tcW w:w="2551" w:type="dxa"/>
            <w:tcBorders>
              <w:top w:val="nil"/>
              <w:left w:val="single" w:sz="12" w:space="0" w:color="FFFFFF"/>
              <w:bottom w:val="nil"/>
            </w:tcBorders>
            <w:shd w:val="clear" w:color="auto" w:fill="DDDDFF"/>
          </w:tcPr>
          <w:p>
            <w:pPr>
              <w:pStyle w:val="TableParagraph"/>
              <w:rPr>
                <w:sz w:val="20"/>
              </w:rPr>
            </w:pPr>
          </w:p>
        </w:tc>
      </w:tr>
      <w:tr>
        <w:trPr>
          <w:trHeight w:val="314" w:hRule="atLeast"/>
        </w:trPr>
        <w:tc>
          <w:tcPr>
            <w:tcW w:w="8707" w:type="dxa"/>
            <w:gridSpan w:val="4"/>
            <w:tcBorders>
              <w:top w:val="nil"/>
            </w:tcBorders>
          </w:tcPr>
          <w:p>
            <w:pPr>
              <w:pStyle w:val="TableParagraph"/>
              <w:tabs>
                <w:tab w:pos="2070" w:val="right" w:leader="none"/>
              </w:tabs>
              <w:spacing w:before="45"/>
              <w:ind w:left="119"/>
              <w:rPr>
                <w:sz w:val="18"/>
              </w:rPr>
            </w:pPr>
            <w:r>
              <w:rPr>
                <w:w w:val="115"/>
                <w:sz w:val="18"/>
              </w:rPr>
              <w:t>Total entries</w:t>
              <w:tab/>
              <w:t>1659</w:t>
            </w:r>
          </w:p>
        </w:tc>
      </w:tr>
    </w:tbl>
    <w:p>
      <w:pPr>
        <w:pStyle w:val="BodyText"/>
        <w:spacing w:before="120"/>
        <w:ind w:left="823"/>
      </w:pPr>
      <w:r>
        <w:rPr>
          <w:w w:val="110"/>
        </w:rPr>
        <w:t>Percentage of entries with results in this view: 49.5%</w:t>
      </w:r>
    </w:p>
    <w:p>
      <w:pPr>
        <w:pStyle w:val="BodyText"/>
      </w:pPr>
    </w:p>
    <w:p>
      <w:pPr>
        <w:pStyle w:val="BodyText"/>
        <w:spacing w:before="1"/>
        <w:ind w:left="392" w:right="1078"/>
      </w:pPr>
      <w:r>
        <w:rPr>
          <w:w w:val="105"/>
        </w:rPr>
        <w:t>Remember, the PEP ranges for N A M E are guidelines, not absolute targets. If a SOP value is outside the PEP range, it is up to the panel leader to give possible reasons for this occurring.</w:t>
      </w:r>
    </w:p>
    <w:p>
      <w:pPr>
        <w:pStyle w:val="BodyText"/>
        <w:spacing w:line="251" w:lineRule="exact"/>
        <w:ind w:left="392"/>
      </w:pPr>
      <w:r>
        <w:rPr>
          <w:w w:val="110"/>
        </w:rPr>
        <w:t>Possible reasons could be professional development, drop in cohort size or bad karma (not really).</w:t>
      </w:r>
    </w:p>
    <w:p>
      <w:pPr>
        <w:pStyle w:val="BodyText"/>
        <w:spacing w:before="5"/>
        <w:rPr>
          <w:sz w:val="31"/>
        </w:rPr>
      </w:pPr>
    </w:p>
    <w:p>
      <w:pPr>
        <w:pStyle w:val="Heading3"/>
        <w:spacing w:before="1"/>
      </w:pPr>
      <w:bookmarkStart w:name="_TOC_250006" w:id="42"/>
      <w:bookmarkEnd w:id="42"/>
      <w:r>
        <w:rPr>
          <w:w w:val="115"/>
        </w:rPr>
        <w:t>Check Marking</w:t>
      </w:r>
    </w:p>
    <w:p>
      <w:pPr>
        <w:pStyle w:val="BodyText"/>
        <w:spacing w:before="117"/>
        <w:ind w:left="392" w:right="769"/>
      </w:pPr>
      <w:r>
        <w:rPr>
          <w:w w:val="110"/>
        </w:rPr>
        <w:t>Check marking is done to ensure that the marker is consistently applying the assessment schedule.</w:t>
      </w:r>
    </w:p>
    <w:p>
      <w:pPr>
        <w:pStyle w:val="BodyText"/>
        <w:spacing w:before="11"/>
        <w:rPr>
          <w:sz w:val="20"/>
        </w:rPr>
      </w:pPr>
    </w:p>
    <w:p>
      <w:pPr>
        <w:pStyle w:val="BodyText"/>
        <w:ind w:left="392"/>
      </w:pPr>
      <w:r>
        <w:rPr>
          <w:w w:val="120"/>
        </w:rPr>
        <w:t>Check Marking Procedures</w:t>
      </w:r>
    </w:p>
    <w:p>
      <w:pPr>
        <w:pStyle w:val="ListParagraph"/>
        <w:numPr>
          <w:ilvl w:val="0"/>
          <w:numId w:val="2"/>
        </w:numPr>
        <w:tabs>
          <w:tab w:pos="749" w:val="left" w:leader="none"/>
          <w:tab w:pos="750" w:val="left" w:leader="none"/>
        </w:tabs>
        <w:spacing w:line="240" w:lineRule="auto" w:before="138" w:after="0"/>
        <w:ind w:left="749" w:right="0" w:hanging="357"/>
        <w:jc w:val="left"/>
        <w:rPr>
          <w:sz w:val="22"/>
        </w:rPr>
      </w:pPr>
      <w:r>
        <w:rPr>
          <w:w w:val="115"/>
          <w:sz w:val="22"/>
        </w:rPr>
        <w:t>use a </w:t>
      </w:r>
      <w:r>
        <w:rPr>
          <w:color w:val="00AF50"/>
          <w:w w:val="115"/>
          <w:sz w:val="22"/>
        </w:rPr>
        <w:t>green </w:t>
      </w:r>
      <w:r>
        <w:rPr>
          <w:w w:val="115"/>
          <w:sz w:val="22"/>
        </w:rPr>
        <w:t>pen only to check</w:t>
      </w:r>
      <w:r>
        <w:rPr>
          <w:spacing w:val="-21"/>
          <w:w w:val="115"/>
          <w:sz w:val="22"/>
        </w:rPr>
        <w:t> </w:t>
      </w:r>
      <w:r>
        <w:rPr>
          <w:w w:val="115"/>
          <w:sz w:val="22"/>
        </w:rPr>
        <w:t>mark</w:t>
      </w:r>
    </w:p>
    <w:p>
      <w:pPr>
        <w:pStyle w:val="ListParagraph"/>
        <w:numPr>
          <w:ilvl w:val="0"/>
          <w:numId w:val="2"/>
        </w:numPr>
        <w:tabs>
          <w:tab w:pos="749" w:val="left" w:leader="none"/>
          <w:tab w:pos="750" w:val="left" w:leader="none"/>
        </w:tabs>
        <w:spacing w:line="240" w:lineRule="auto" w:before="133" w:after="0"/>
        <w:ind w:left="749" w:right="0" w:hanging="357"/>
        <w:jc w:val="left"/>
        <w:rPr>
          <w:sz w:val="22"/>
        </w:rPr>
      </w:pPr>
      <w:r>
        <w:rPr>
          <w:w w:val="105"/>
          <w:sz w:val="22"/>
        </w:rPr>
        <w:t>check marking should begin immediately after marking</w:t>
      </w:r>
      <w:r>
        <w:rPr>
          <w:spacing w:val="38"/>
          <w:w w:val="105"/>
          <w:sz w:val="22"/>
        </w:rPr>
        <w:t> </w:t>
      </w:r>
      <w:r>
        <w:rPr>
          <w:w w:val="105"/>
          <w:sz w:val="22"/>
        </w:rPr>
        <w:t>starts</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w w:val="110"/>
          <w:sz w:val="22"/>
        </w:rPr>
        <w:t>check mark the senior marker</w:t>
      </w:r>
      <w:r>
        <w:rPr>
          <w:spacing w:val="-4"/>
          <w:w w:val="110"/>
          <w:sz w:val="22"/>
        </w:rPr>
        <w:t> </w:t>
      </w:r>
      <w:r>
        <w:rPr>
          <w:w w:val="110"/>
          <w:sz w:val="22"/>
        </w:rPr>
        <w:t>first</w:t>
      </w:r>
    </w:p>
    <w:p>
      <w:pPr>
        <w:pStyle w:val="ListParagraph"/>
        <w:numPr>
          <w:ilvl w:val="0"/>
          <w:numId w:val="2"/>
        </w:numPr>
        <w:tabs>
          <w:tab w:pos="749" w:val="left" w:leader="none"/>
          <w:tab w:pos="750" w:val="left" w:leader="none"/>
        </w:tabs>
        <w:spacing w:line="240" w:lineRule="auto" w:before="134" w:after="0"/>
        <w:ind w:left="749" w:right="0" w:hanging="357"/>
        <w:jc w:val="left"/>
        <w:rPr>
          <w:sz w:val="22"/>
        </w:rPr>
      </w:pPr>
      <w:r>
        <w:rPr>
          <w:w w:val="110"/>
          <w:sz w:val="22"/>
        </w:rPr>
        <w:t>check marking must take priority over the marking of one’s allocated</w:t>
      </w:r>
      <w:r>
        <w:rPr>
          <w:spacing w:val="-33"/>
          <w:w w:val="110"/>
          <w:sz w:val="22"/>
        </w:rPr>
        <w:t> </w:t>
      </w:r>
      <w:r>
        <w:rPr>
          <w:w w:val="110"/>
          <w:sz w:val="22"/>
        </w:rPr>
        <w:t>portfolios</w:t>
      </w:r>
    </w:p>
    <w:p>
      <w:pPr>
        <w:pStyle w:val="ListParagraph"/>
        <w:numPr>
          <w:ilvl w:val="0"/>
          <w:numId w:val="2"/>
        </w:numPr>
        <w:tabs>
          <w:tab w:pos="749" w:val="left" w:leader="none"/>
          <w:tab w:pos="750" w:val="left" w:leader="none"/>
        </w:tabs>
        <w:spacing w:line="240" w:lineRule="auto" w:before="135" w:after="0"/>
        <w:ind w:left="749" w:right="0" w:hanging="357"/>
        <w:jc w:val="left"/>
        <w:rPr>
          <w:sz w:val="22"/>
        </w:rPr>
      </w:pPr>
      <w:r>
        <w:rPr>
          <w:w w:val="105"/>
          <w:sz w:val="22"/>
        </w:rPr>
        <w:t>underline</w:t>
      </w:r>
      <w:r>
        <w:rPr>
          <w:spacing w:val="7"/>
          <w:w w:val="105"/>
          <w:sz w:val="22"/>
        </w:rPr>
        <w:t> </w:t>
      </w:r>
      <w:r>
        <w:rPr>
          <w:w w:val="105"/>
          <w:sz w:val="22"/>
        </w:rPr>
        <w:t>on</w:t>
      </w:r>
      <w:r>
        <w:rPr>
          <w:spacing w:val="7"/>
          <w:w w:val="105"/>
          <w:sz w:val="22"/>
        </w:rPr>
        <w:t> </w:t>
      </w:r>
      <w:r>
        <w:rPr>
          <w:w w:val="105"/>
          <w:sz w:val="22"/>
        </w:rPr>
        <w:t>the</w:t>
      </w:r>
      <w:r>
        <w:rPr>
          <w:spacing w:val="5"/>
          <w:w w:val="105"/>
          <w:sz w:val="22"/>
        </w:rPr>
        <w:t> </w:t>
      </w:r>
      <w:r>
        <w:rPr>
          <w:w w:val="105"/>
          <w:sz w:val="22"/>
        </w:rPr>
        <w:t>schedule</w:t>
      </w:r>
      <w:r>
        <w:rPr>
          <w:spacing w:val="8"/>
          <w:w w:val="105"/>
          <w:sz w:val="22"/>
        </w:rPr>
        <w:t> </w:t>
      </w:r>
      <w:r>
        <w:rPr>
          <w:w w:val="105"/>
          <w:sz w:val="22"/>
        </w:rPr>
        <w:t>as</w:t>
      </w:r>
      <w:r>
        <w:rPr>
          <w:spacing w:val="6"/>
          <w:w w:val="105"/>
          <w:sz w:val="22"/>
        </w:rPr>
        <w:t> </w:t>
      </w:r>
      <w:r>
        <w:rPr>
          <w:w w:val="105"/>
          <w:sz w:val="22"/>
        </w:rPr>
        <w:t>if</w:t>
      </w:r>
      <w:r>
        <w:rPr>
          <w:spacing w:val="7"/>
          <w:w w:val="105"/>
          <w:sz w:val="22"/>
        </w:rPr>
        <w:t> </w:t>
      </w:r>
      <w:r>
        <w:rPr>
          <w:w w:val="105"/>
          <w:sz w:val="22"/>
        </w:rPr>
        <w:t>marking</w:t>
      </w:r>
      <w:r>
        <w:rPr>
          <w:spacing w:val="8"/>
          <w:w w:val="105"/>
          <w:sz w:val="22"/>
        </w:rPr>
        <w:t> </w:t>
      </w:r>
      <w:r>
        <w:rPr>
          <w:w w:val="105"/>
          <w:sz w:val="22"/>
        </w:rPr>
        <w:t>for</w:t>
      </w:r>
      <w:r>
        <w:rPr>
          <w:spacing w:val="4"/>
          <w:w w:val="105"/>
          <w:sz w:val="22"/>
        </w:rPr>
        <w:t> </w:t>
      </w:r>
      <w:r>
        <w:rPr>
          <w:w w:val="105"/>
          <w:sz w:val="22"/>
        </w:rPr>
        <w:t>the</w:t>
      </w:r>
      <w:r>
        <w:rPr>
          <w:spacing w:val="4"/>
          <w:w w:val="105"/>
          <w:sz w:val="22"/>
        </w:rPr>
        <w:t> </w:t>
      </w:r>
      <w:r>
        <w:rPr>
          <w:w w:val="105"/>
          <w:sz w:val="22"/>
        </w:rPr>
        <w:t>first</w:t>
      </w:r>
      <w:r>
        <w:rPr>
          <w:spacing w:val="8"/>
          <w:w w:val="105"/>
          <w:sz w:val="22"/>
        </w:rPr>
        <w:t> </w:t>
      </w:r>
      <w:r>
        <w:rPr>
          <w:w w:val="105"/>
          <w:sz w:val="22"/>
        </w:rPr>
        <w:t>time</w:t>
      </w:r>
      <w:r>
        <w:rPr>
          <w:spacing w:val="2"/>
          <w:w w:val="105"/>
          <w:sz w:val="22"/>
        </w:rPr>
        <w:t> </w:t>
      </w:r>
      <w:r>
        <w:rPr>
          <w:w w:val="105"/>
          <w:sz w:val="22"/>
        </w:rPr>
        <w:t>(see</w:t>
      </w:r>
      <w:r>
        <w:rPr>
          <w:spacing w:val="6"/>
          <w:w w:val="105"/>
          <w:sz w:val="22"/>
        </w:rPr>
        <w:t> </w:t>
      </w:r>
      <w:r>
        <w:rPr>
          <w:w w:val="105"/>
          <w:sz w:val="22"/>
        </w:rPr>
        <w:t>Appendix</w:t>
      </w:r>
      <w:r>
        <w:rPr>
          <w:spacing w:val="4"/>
          <w:w w:val="105"/>
          <w:sz w:val="22"/>
        </w:rPr>
        <w:t> </w:t>
      </w:r>
      <w:r>
        <w:rPr>
          <w:w w:val="105"/>
          <w:sz w:val="22"/>
        </w:rPr>
        <w:t>I)</w:t>
      </w:r>
    </w:p>
    <w:p>
      <w:pPr>
        <w:pStyle w:val="ListParagraph"/>
        <w:numPr>
          <w:ilvl w:val="0"/>
          <w:numId w:val="2"/>
        </w:numPr>
        <w:tabs>
          <w:tab w:pos="749" w:val="left" w:leader="none"/>
          <w:tab w:pos="750" w:val="left" w:leader="none"/>
        </w:tabs>
        <w:spacing w:line="240" w:lineRule="auto" w:before="134" w:after="0"/>
        <w:ind w:left="749" w:right="0" w:hanging="357"/>
        <w:jc w:val="left"/>
        <w:rPr>
          <w:sz w:val="22"/>
        </w:rPr>
      </w:pPr>
      <w:r>
        <w:rPr>
          <w:w w:val="110"/>
          <w:sz w:val="22"/>
        </w:rPr>
        <w:t>sign/initial beside the marker’s final grade to indicate that you have check marked the</w:t>
      </w:r>
      <w:r>
        <w:rPr>
          <w:spacing w:val="-29"/>
          <w:w w:val="110"/>
          <w:sz w:val="22"/>
        </w:rPr>
        <w:t> </w:t>
      </w:r>
      <w:r>
        <w:rPr>
          <w:w w:val="110"/>
          <w:sz w:val="22"/>
        </w:rPr>
        <w:t>material</w:t>
      </w:r>
    </w:p>
    <w:p>
      <w:pPr>
        <w:pStyle w:val="ListParagraph"/>
        <w:numPr>
          <w:ilvl w:val="0"/>
          <w:numId w:val="2"/>
        </w:numPr>
        <w:tabs>
          <w:tab w:pos="749" w:val="left" w:leader="none"/>
          <w:tab w:pos="750" w:val="left" w:leader="none"/>
        </w:tabs>
        <w:spacing w:line="240" w:lineRule="auto" w:before="136" w:after="0"/>
        <w:ind w:left="750" w:right="1393" w:hanging="358"/>
        <w:jc w:val="left"/>
        <w:rPr>
          <w:sz w:val="22"/>
        </w:rPr>
      </w:pPr>
      <w:r>
        <w:rPr>
          <w:w w:val="110"/>
          <w:sz w:val="22"/>
        </w:rPr>
        <w:t>a result should only be overruled if the marker has misinterpreted or not adhered to the assessment</w:t>
      </w:r>
      <w:r>
        <w:rPr>
          <w:spacing w:val="-1"/>
          <w:w w:val="110"/>
          <w:sz w:val="22"/>
        </w:rPr>
        <w:t> </w:t>
      </w:r>
      <w:r>
        <w:rPr>
          <w:w w:val="110"/>
          <w:sz w:val="22"/>
        </w:rPr>
        <w:t>schedule</w:t>
      </w:r>
    </w:p>
    <w:p>
      <w:pPr>
        <w:pStyle w:val="ListParagraph"/>
        <w:numPr>
          <w:ilvl w:val="0"/>
          <w:numId w:val="2"/>
        </w:numPr>
        <w:tabs>
          <w:tab w:pos="749" w:val="left" w:leader="none"/>
          <w:tab w:pos="750" w:val="left" w:leader="none"/>
        </w:tabs>
        <w:spacing w:line="240" w:lineRule="auto" w:before="135" w:after="0"/>
        <w:ind w:left="750" w:right="881" w:hanging="358"/>
        <w:jc w:val="left"/>
        <w:rPr>
          <w:sz w:val="22"/>
        </w:rPr>
      </w:pPr>
      <w:r>
        <w:rPr>
          <w:w w:val="110"/>
          <w:sz w:val="22"/>
        </w:rPr>
        <w:t>where a result is overruled, write the new result (</w:t>
      </w:r>
      <w:r>
        <w:rPr>
          <w:color w:val="00AF50"/>
          <w:w w:val="110"/>
          <w:sz w:val="22"/>
        </w:rPr>
        <w:t>in green</w:t>
      </w:r>
      <w:r>
        <w:rPr>
          <w:w w:val="110"/>
          <w:sz w:val="22"/>
        </w:rPr>
        <w:t>) on the assessment envelope and sign/initial</w:t>
      </w:r>
      <w:r>
        <w:rPr>
          <w:spacing w:val="-1"/>
          <w:w w:val="110"/>
          <w:sz w:val="22"/>
        </w:rPr>
        <w:t> </w:t>
      </w:r>
      <w:r>
        <w:rPr>
          <w:w w:val="110"/>
          <w:sz w:val="22"/>
        </w:rPr>
        <w:t>it</w:t>
      </w:r>
    </w:p>
    <w:p>
      <w:pPr>
        <w:pStyle w:val="ListParagraph"/>
        <w:numPr>
          <w:ilvl w:val="0"/>
          <w:numId w:val="2"/>
        </w:numPr>
        <w:tabs>
          <w:tab w:pos="749" w:val="left" w:leader="none"/>
          <w:tab w:pos="750" w:val="left" w:leader="none"/>
        </w:tabs>
        <w:spacing w:line="240" w:lineRule="auto" w:before="134" w:after="0"/>
        <w:ind w:left="750" w:right="550" w:hanging="358"/>
        <w:jc w:val="left"/>
        <w:rPr>
          <w:sz w:val="22"/>
        </w:rPr>
      </w:pPr>
      <w:r>
        <w:rPr>
          <w:w w:val="110"/>
          <w:sz w:val="22"/>
        </w:rPr>
        <w:t>use the check marking sheet provided (see Appendix C) to record check marking decisions and comments on each marker’s</w:t>
      </w:r>
      <w:r>
        <w:rPr>
          <w:spacing w:val="-1"/>
          <w:w w:val="110"/>
          <w:sz w:val="22"/>
        </w:rPr>
        <w:t> </w:t>
      </w:r>
      <w:r>
        <w:rPr>
          <w:w w:val="110"/>
          <w:sz w:val="22"/>
        </w:rPr>
        <w:t>decisions</w:t>
      </w:r>
    </w:p>
    <w:p>
      <w:pPr>
        <w:pStyle w:val="ListParagraph"/>
        <w:numPr>
          <w:ilvl w:val="0"/>
          <w:numId w:val="2"/>
        </w:numPr>
        <w:tabs>
          <w:tab w:pos="749" w:val="left" w:leader="none"/>
          <w:tab w:pos="750" w:val="left" w:leader="none"/>
        </w:tabs>
        <w:spacing w:line="240" w:lineRule="auto" w:before="135" w:after="0"/>
        <w:ind w:left="749" w:right="0" w:hanging="357"/>
        <w:jc w:val="left"/>
        <w:rPr>
          <w:sz w:val="22"/>
        </w:rPr>
      </w:pPr>
      <w:r>
        <w:rPr>
          <w:w w:val="110"/>
          <w:sz w:val="22"/>
        </w:rPr>
        <w:t>refer to these sheets when reporting on marker performance in Part A of the PL</w:t>
      </w:r>
      <w:r>
        <w:rPr>
          <w:spacing w:val="17"/>
          <w:w w:val="110"/>
          <w:sz w:val="22"/>
        </w:rPr>
        <w:t> </w:t>
      </w:r>
      <w:r>
        <w:rPr>
          <w:w w:val="110"/>
          <w:sz w:val="22"/>
        </w:rPr>
        <w:t>Report</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w w:val="110"/>
          <w:sz w:val="22"/>
        </w:rPr>
        <w:t>markers send consecutive portfolios for check marking as specified in the marker</w:t>
      </w:r>
      <w:r>
        <w:rPr>
          <w:spacing w:val="-25"/>
          <w:w w:val="110"/>
          <w:sz w:val="22"/>
        </w:rPr>
        <w:t> </w:t>
      </w:r>
      <w:r>
        <w:rPr>
          <w:w w:val="110"/>
          <w:sz w:val="22"/>
        </w:rPr>
        <w:t>timeline</w:t>
      </w:r>
    </w:p>
    <w:p>
      <w:pPr>
        <w:pStyle w:val="ListParagraph"/>
        <w:numPr>
          <w:ilvl w:val="0"/>
          <w:numId w:val="2"/>
        </w:numPr>
        <w:tabs>
          <w:tab w:pos="749" w:val="left" w:leader="none"/>
          <w:tab w:pos="750" w:val="left" w:leader="none"/>
        </w:tabs>
        <w:spacing w:line="240" w:lineRule="auto" w:before="133" w:after="0"/>
        <w:ind w:left="750" w:right="1748" w:hanging="358"/>
        <w:jc w:val="left"/>
        <w:rPr>
          <w:sz w:val="22"/>
        </w:rPr>
      </w:pPr>
      <w:r>
        <w:rPr>
          <w:w w:val="115"/>
          <w:sz w:val="22"/>
        </w:rPr>
        <w:t>you</w:t>
      </w:r>
      <w:r>
        <w:rPr>
          <w:spacing w:val="-19"/>
          <w:w w:val="115"/>
          <w:sz w:val="22"/>
        </w:rPr>
        <w:t> </w:t>
      </w:r>
      <w:r>
        <w:rPr>
          <w:w w:val="115"/>
          <w:sz w:val="22"/>
        </w:rPr>
        <w:t>may</w:t>
      </w:r>
      <w:r>
        <w:rPr>
          <w:spacing w:val="-21"/>
          <w:w w:val="115"/>
          <w:sz w:val="22"/>
        </w:rPr>
        <w:t> </w:t>
      </w:r>
      <w:r>
        <w:rPr>
          <w:w w:val="115"/>
          <w:sz w:val="22"/>
        </w:rPr>
        <w:t>check</w:t>
      </w:r>
      <w:r>
        <w:rPr>
          <w:spacing w:val="-20"/>
          <w:w w:val="115"/>
          <w:sz w:val="22"/>
        </w:rPr>
        <w:t> </w:t>
      </w:r>
      <w:r>
        <w:rPr>
          <w:w w:val="115"/>
          <w:sz w:val="22"/>
        </w:rPr>
        <w:t>mark</w:t>
      </w:r>
      <w:r>
        <w:rPr>
          <w:spacing w:val="-19"/>
          <w:w w:val="115"/>
          <w:sz w:val="22"/>
        </w:rPr>
        <w:t> </w:t>
      </w:r>
      <w:r>
        <w:rPr>
          <w:w w:val="115"/>
          <w:sz w:val="22"/>
        </w:rPr>
        <w:t>as</w:t>
      </w:r>
      <w:r>
        <w:rPr>
          <w:spacing w:val="-21"/>
          <w:w w:val="115"/>
          <w:sz w:val="22"/>
        </w:rPr>
        <w:t> </w:t>
      </w:r>
      <w:r>
        <w:rPr>
          <w:w w:val="115"/>
          <w:sz w:val="22"/>
        </w:rPr>
        <w:t>many</w:t>
      </w:r>
      <w:r>
        <w:rPr>
          <w:spacing w:val="-19"/>
          <w:w w:val="115"/>
          <w:sz w:val="22"/>
        </w:rPr>
        <w:t> </w:t>
      </w:r>
      <w:r>
        <w:rPr>
          <w:w w:val="115"/>
          <w:sz w:val="22"/>
        </w:rPr>
        <w:t>portfolios</w:t>
      </w:r>
      <w:r>
        <w:rPr>
          <w:spacing w:val="-20"/>
          <w:w w:val="115"/>
          <w:sz w:val="22"/>
        </w:rPr>
        <w:t> </w:t>
      </w:r>
      <w:r>
        <w:rPr>
          <w:w w:val="115"/>
          <w:sz w:val="22"/>
        </w:rPr>
        <w:t>as</w:t>
      </w:r>
      <w:r>
        <w:rPr>
          <w:spacing w:val="-19"/>
          <w:w w:val="115"/>
          <w:sz w:val="22"/>
        </w:rPr>
        <w:t> </w:t>
      </w:r>
      <w:r>
        <w:rPr>
          <w:w w:val="115"/>
          <w:sz w:val="22"/>
        </w:rPr>
        <w:t>necessary</w:t>
      </w:r>
      <w:r>
        <w:rPr>
          <w:spacing w:val="-21"/>
          <w:w w:val="115"/>
          <w:sz w:val="22"/>
        </w:rPr>
        <w:t> </w:t>
      </w:r>
      <w:r>
        <w:rPr>
          <w:w w:val="115"/>
          <w:sz w:val="22"/>
        </w:rPr>
        <w:t>to</w:t>
      </w:r>
      <w:r>
        <w:rPr>
          <w:spacing w:val="-17"/>
          <w:w w:val="115"/>
          <w:sz w:val="22"/>
        </w:rPr>
        <w:t> </w:t>
      </w:r>
      <w:r>
        <w:rPr>
          <w:w w:val="115"/>
          <w:sz w:val="22"/>
        </w:rPr>
        <w:t>determine</w:t>
      </w:r>
      <w:r>
        <w:rPr>
          <w:spacing w:val="-22"/>
          <w:w w:val="115"/>
          <w:sz w:val="22"/>
        </w:rPr>
        <w:t> </w:t>
      </w:r>
      <w:r>
        <w:rPr>
          <w:w w:val="115"/>
          <w:sz w:val="22"/>
        </w:rPr>
        <w:t>that</w:t>
      </w:r>
      <w:r>
        <w:rPr>
          <w:spacing w:val="-19"/>
          <w:w w:val="115"/>
          <w:sz w:val="22"/>
        </w:rPr>
        <w:t> </w:t>
      </w:r>
      <w:r>
        <w:rPr>
          <w:w w:val="115"/>
          <w:sz w:val="22"/>
        </w:rPr>
        <w:t>a</w:t>
      </w:r>
      <w:r>
        <w:rPr>
          <w:spacing w:val="-21"/>
          <w:w w:val="115"/>
          <w:sz w:val="22"/>
        </w:rPr>
        <w:t> </w:t>
      </w:r>
      <w:r>
        <w:rPr>
          <w:w w:val="115"/>
          <w:sz w:val="22"/>
        </w:rPr>
        <w:t>marker</w:t>
      </w:r>
      <w:r>
        <w:rPr>
          <w:spacing w:val="-19"/>
          <w:w w:val="115"/>
          <w:sz w:val="22"/>
        </w:rPr>
        <w:t> </w:t>
      </w:r>
      <w:r>
        <w:rPr>
          <w:w w:val="115"/>
          <w:sz w:val="22"/>
        </w:rPr>
        <w:t>is consistently applying the assessment</w:t>
      </w:r>
      <w:r>
        <w:rPr>
          <w:spacing w:val="-14"/>
          <w:w w:val="115"/>
          <w:sz w:val="22"/>
        </w:rPr>
        <w:t> </w:t>
      </w:r>
      <w:r>
        <w:rPr>
          <w:w w:val="115"/>
          <w:sz w:val="22"/>
        </w:rPr>
        <w:t>schedule</w:t>
      </w:r>
    </w:p>
    <w:p>
      <w:pPr>
        <w:pStyle w:val="ListParagraph"/>
        <w:numPr>
          <w:ilvl w:val="0"/>
          <w:numId w:val="2"/>
        </w:numPr>
        <w:tabs>
          <w:tab w:pos="749" w:val="left" w:leader="none"/>
          <w:tab w:pos="750" w:val="left" w:leader="none"/>
        </w:tabs>
        <w:spacing w:line="240" w:lineRule="auto" w:before="135" w:after="0"/>
        <w:ind w:left="750" w:right="877" w:hanging="358"/>
        <w:jc w:val="left"/>
        <w:rPr>
          <w:sz w:val="22"/>
        </w:rPr>
      </w:pPr>
      <w:r>
        <w:rPr>
          <w:w w:val="105"/>
          <w:sz w:val="22"/>
        </w:rPr>
        <w:t>approximately 8% of each marker’s portfolios should be check marked – some markers may require more check marking – discuss with the</w:t>
      </w:r>
      <w:r>
        <w:rPr>
          <w:spacing w:val="37"/>
          <w:w w:val="105"/>
          <w:sz w:val="22"/>
        </w:rPr>
        <w:t> </w:t>
      </w:r>
      <w:r>
        <w:rPr>
          <w:w w:val="105"/>
          <w:sz w:val="22"/>
        </w:rPr>
        <w:t>NAF</w:t>
      </w:r>
    </w:p>
    <w:p>
      <w:pPr>
        <w:pStyle w:val="ListParagraph"/>
        <w:numPr>
          <w:ilvl w:val="0"/>
          <w:numId w:val="2"/>
        </w:numPr>
        <w:tabs>
          <w:tab w:pos="749" w:val="left" w:leader="none"/>
          <w:tab w:pos="750" w:val="left" w:leader="none"/>
        </w:tabs>
        <w:spacing w:line="240" w:lineRule="auto" w:before="135" w:after="0"/>
        <w:ind w:left="749" w:right="0" w:hanging="357"/>
        <w:jc w:val="left"/>
        <w:rPr>
          <w:sz w:val="22"/>
        </w:rPr>
      </w:pPr>
      <w:r>
        <w:rPr>
          <w:w w:val="110"/>
          <w:sz w:val="22"/>
        </w:rPr>
        <w:t>when</w:t>
      </w:r>
      <w:r>
        <w:rPr>
          <w:spacing w:val="-4"/>
          <w:w w:val="110"/>
          <w:sz w:val="22"/>
        </w:rPr>
        <w:t> </w:t>
      </w:r>
      <w:r>
        <w:rPr>
          <w:w w:val="110"/>
          <w:sz w:val="22"/>
        </w:rPr>
        <w:t>preparing</w:t>
      </w:r>
      <w:r>
        <w:rPr>
          <w:spacing w:val="-4"/>
          <w:w w:val="110"/>
          <w:sz w:val="22"/>
        </w:rPr>
        <w:t> </w:t>
      </w:r>
      <w:r>
        <w:rPr>
          <w:w w:val="110"/>
          <w:sz w:val="22"/>
        </w:rPr>
        <w:t>your</w:t>
      </w:r>
      <w:r>
        <w:rPr>
          <w:spacing w:val="-3"/>
          <w:w w:val="110"/>
          <w:sz w:val="22"/>
        </w:rPr>
        <w:t> </w:t>
      </w:r>
      <w:r>
        <w:rPr>
          <w:w w:val="110"/>
          <w:sz w:val="22"/>
        </w:rPr>
        <w:t>timeline</w:t>
      </w:r>
      <w:r>
        <w:rPr>
          <w:spacing w:val="-2"/>
          <w:w w:val="110"/>
          <w:sz w:val="22"/>
        </w:rPr>
        <w:t> </w:t>
      </w:r>
      <w:r>
        <w:rPr>
          <w:w w:val="110"/>
          <w:sz w:val="22"/>
        </w:rPr>
        <w:t>for</w:t>
      </w:r>
      <w:r>
        <w:rPr>
          <w:spacing w:val="-3"/>
          <w:w w:val="110"/>
          <w:sz w:val="22"/>
        </w:rPr>
        <w:t> </w:t>
      </w:r>
      <w:r>
        <w:rPr>
          <w:w w:val="110"/>
          <w:sz w:val="22"/>
        </w:rPr>
        <w:t>markers</w:t>
      </w:r>
      <w:r>
        <w:rPr>
          <w:spacing w:val="-5"/>
          <w:w w:val="110"/>
          <w:sz w:val="22"/>
        </w:rPr>
        <w:t> </w:t>
      </w:r>
      <w:r>
        <w:rPr>
          <w:w w:val="110"/>
          <w:sz w:val="22"/>
        </w:rPr>
        <w:t>(Appendix</w:t>
      </w:r>
      <w:r>
        <w:rPr>
          <w:spacing w:val="-4"/>
          <w:w w:val="110"/>
          <w:sz w:val="22"/>
        </w:rPr>
        <w:t> </w:t>
      </w:r>
      <w:r>
        <w:rPr>
          <w:w w:val="110"/>
          <w:sz w:val="22"/>
        </w:rPr>
        <w:t>A),</w:t>
      </w:r>
      <w:r>
        <w:rPr>
          <w:spacing w:val="-5"/>
          <w:w w:val="110"/>
          <w:sz w:val="22"/>
        </w:rPr>
        <w:t> </w:t>
      </w:r>
      <w:r>
        <w:rPr>
          <w:w w:val="110"/>
          <w:sz w:val="22"/>
        </w:rPr>
        <w:t>use</w:t>
      </w:r>
      <w:r>
        <w:rPr>
          <w:spacing w:val="-5"/>
          <w:w w:val="110"/>
          <w:sz w:val="22"/>
        </w:rPr>
        <w:t> </w:t>
      </w:r>
      <w:r>
        <w:rPr>
          <w:w w:val="110"/>
          <w:sz w:val="22"/>
        </w:rPr>
        <w:t>the</w:t>
      </w:r>
      <w:r>
        <w:rPr>
          <w:spacing w:val="-6"/>
          <w:w w:val="110"/>
          <w:sz w:val="22"/>
        </w:rPr>
        <w:t> </w:t>
      </w:r>
      <w:r>
        <w:rPr>
          <w:w w:val="110"/>
          <w:sz w:val="22"/>
        </w:rPr>
        <w:t>following</w:t>
      </w:r>
      <w:r>
        <w:rPr>
          <w:spacing w:val="-1"/>
          <w:w w:val="110"/>
          <w:sz w:val="22"/>
        </w:rPr>
        <w:t> </w:t>
      </w:r>
      <w:r>
        <w:rPr>
          <w:w w:val="110"/>
          <w:sz w:val="22"/>
        </w:rPr>
        <w:t>as a</w:t>
      </w:r>
      <w:r>
        <w:rPr>
          <w:spacing w:val="-7"/>
          <w:w w:val="110"/>
          <w:sz w:val="22"/>
        </w:rPr>
        <w:t> </w:t>
      </w:r>
      <w:r>
        <w:rPr>
          <w:w w:val="110"/>
          <w:sz w:val="22"/>
        </w:rPr>
        <w:t>guide:</w:t>
      </w:r>
    </w:p>
    <w:p>
      <w:pPr>
        <w:spacing w:after="0" w:line="240" w:lineRule="auto"/>
        <w:jc w:val="left"/>
        <w:rPr>
          <w:sz w:val="22"/>
        </w:rPr>
        <w:sectPr>
          <w:pgSz w:w="11910" w:h="16840"/>
          <w:pgMar w:header="0" w:footer="297" w:top="760" w:bottom="480" w:left="740" w:right="580"/>
        </w:sectPr>
      </w:pPr>
    </w:p>
    <w:tbl>
      <w:tblPr>
        <w:tblW w:w="0" w:type="auto"/>
        <w:jc w:val="left"/>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3367"/>
        <w:gridCol w:w="2193"/>
        <w:gridCol w:w="3187"/>
      </w:tblGrid>
      <w:tr>
        <w:trPr>
          <w:trHeight w:val="371" w:hRule="atLeast"/>
        </w:trPr>
        <w:tc>
          <w:tcPr>
            <w:tcW w:w="881" w:type="dxa"/>
            <w:shd w:val="clear" w:color="auto" w:fill="FFBF00"/>
          </w:tcPr>
          <w:p>
            <w:pPr>
              <w:pStyle w:val="TableParagraph"/>
              <w:spacing w:before="54"/>
              <w:ind w:left="114" w:right="100"/>
              <w:jc w:val="center"/>
              <w:rPr>
                <w:sz w:val="22"/>
              </w:rPr>
            </w:pPr>
            <w:r>
              <w:rPr>
                <w:w w:val="120"/>
                <w:sz w:val="22"/>
              </w:rPr>
              <w:t>Batch</w:t>
            </w:r>
          </w:p>
        </w:tc>
        <w:tc>
          <w:tcPr>
            <w:tcW w:w="3367" w:type="dxa"/>
            <w:shd w:val="clear" w:color="auto" w:fill="FFBF00"/>
          </w:tcPr>
          <w:p>
            <w:pPr>
              <w:pStyle w:val="TableParagraph"/>
              <w:spacing w:before="54"/>
              <w:ind w:left="112" w:right="96"/>
              <w:jc w:val="center"/>
              <w:rPr>
                <w:sz w:val="22"/>
              </w:rPr>
            </w:pPr>
            <w:r>
              <w:rPr>
                <w:w w:val="115"/>
                <w:sz w:val="22"/>
              </w:rPr>
              <w:t>From</w:t>
            </w:r>
          </w:p>
        </w:tc>
        <w:tc>
          <w:tcPr>
            <w:tcW w:w="2193" w:type="dxa"/>
            <w:shd w:val="clear" w:color="auto" w:fill="FFBF00"/>
          </w:tcPr>
          <w:p>
            <w:pPr>
              <w:pStyle w:val="TableParagraph"/>
              <w:spacing w:before="54"/>
              <w:ind w:left="133" w:right="118"/>
              <w:jc w:val="center"/>
              <w:rPr>
                <w:sz w:val="22"/>
              </w:rPr>
            </w:pPr>
            <w:r>
              <w:rPr>
                <w:w w:val="125"/>
                <w:sz w:val="22"/>
              </w:rPr>
              <w:t>Send</w:t>
            </w:r>
          </w:p>
        </w:tc>
        <w:tc>
          <w:tcPr>
            <w:tcW w:w="3187" w:type="dxa"/>
            <w:shd w:val="clear" w:color="auto" w:fill="FFBF00"/>
          </w:tcPr>
          <w:p>
            <w:pPr>
              <w:pStyle w:val="TableParagraph"/>
              <w:spacing w:before="54"/>
              <w:ind w:left="78" w:right="68"/>
              <w:jc w:val="center"/>
              <w:rPr>
                <w:sz w:val="22"/>
              </w:rPr>
            </w:pPr>
            <w:r>
              <w:rPr>
                <w:w w:val="120"/>
                <w:sz w:val="22"/>
              </w:rPr>
              <w:t>Number to be check marked</w:t>
            </w:r>
          </w:p>
        </w:tc>
      </w:tr>
      <w:tr>
        <w:trPr>
          <w:trHeight w:val="561" w:hRule="atLeast"/>
        </w:trPr>
        <w:tc>
          <w:tcPr>
            <w:tcW w:w="881" w:type="dxa"/>
          </w:tcPr>
          <w:p>
            <w:pPr>
              <w:pStyle w:val="TableParagraph"/>
              <w:spacing w:before="148"/>
              <w:ind w:left="14"/>
              <w:jc w:val="center"/>
              <w:rPr>
                <w:sz w:val="22"/>
              </w:rPr>
            </w:pPr>
            <w:r>
              <w:rPr>
                <w:w w:val="111"/>
                <w:sz w:val="22"/>
              </w:rPr>
              <w:t>1</w:t>
            </w:r>
          </w:p>
        </w:tc>
        <w:tc>
          <w:tcPr>
            <w:tcW w:w="3367" w:type="dxa"/>
          </w:tcPr>
          <w:p>
            <w:pPr>
              <w:pStyle w:val="TableParagraph"/>
              <w:spacing w:before="23"/>
              <w:ind w:left="1221" w:right="375" w:hanging="821"/>
              <w:rPr>
                <w:sz w:val="22"/>
              </w:rPr>
            </w:pPr>
            <w:r>
              <w:rPr>
                <w:w w:val="110"/>
                <w:sz w:val="22"/>
              </w:rPr>
              <w:t>Up</w:t>
            </w:r>
            <w:r>
              <w:rPr>
                <w:spacing w:val="-19"/>
                <w:w w:val="110"/>
                <w:sz w:val="22"/>
              </w:rPr>
              <w:t> </w:t>
            </w:r>
            <w:r>
              <w:rPr>
                <w:w w:val="110"/>
                <w:sz w:val="22"/>
              </w:rPr>
              <w:t>to</w:t>
            </w:r>
            <w:r>
              <w:rPr>
                <w:spacing w:val="-20"/>
                <w:w w:val="110"/>
                <w:sz w:val="22"/>
              </w:rPr>
              <w:t> </w:t>
            </w:r>
            <w:r>
              <w:rPr>
                <w:w w:val="110"/>
                <w:sz w:val="22"/>
              </w:rPr>
              <w:t>the</w:t>
            </w:r>
            <w:r>
              <w:rPr>
                <w:spacing w:val="-20"/>
                <w:w w:val="110"/>
                <w:sz w:val="22"/>
              </w:rPr>
              <w:t> </w:t>
            </w:r>
            <w:r>
              <w:rPr>
                <w:w w:val="110"/>
                <w:sz w:val="22"/>
              </w:rPr>
              <w:t>first</w:t>
            </w:r>
            <w:r>
              <w:rPr>
                <w:spacing w:val="-16"/>
                <w:w w:val="110"/>
                <w:sz w:val="22"/>
              </w:rPr>
              <w:t> </w:t>
            </w:r>
            <w:r>
              <w:rPr>
                <w:w w:val="110"/>
                <w:sz w:val="22"/>
              </w:rPr>
              <w:t>30</w:t>
            </w:r>
            <w:r>
              <w:rPr>
                <w:spacing w:val="-19"/>
                <w:w w:val="110"/>
                <w:sz w:val="22"/>
              </w:rPr>
              <w:t> </w:t>
            </w:r>
            <w:r>
              <w:rPr>
                <w:w w:val="110"/>
                <w:sz w:val="22"/>
              </w:rPr>
              <w:t>portfolios assessed</w:t>
            </w:r>
          </w:p>
        </w:tc>
        <w:tc>
          <w:tcPr>
            <w:tcW w:w="2193" w:type="dxa"/>
          </w:tcPr>
          <w:p>
            <w:pPr>
              <w:pStyle w:val="TableParagraph"/>
              <w:spacing w:before="148"/>
              <w:ind w:left="132" w:right="121"/>
              <w:jc w:val="center"/>
              <w:rPr>
                <w:sz w:val="22"/>
              </w:rPr>
            </w:pPr>
            <w:r>
              <w:rPr>
                <w:w w:val="110"/>
                <w:sz w:val="22"/>
              </w:rPr>
              <w:t>20 consecutive</w:t>
            </w:r>
          </w:p>
        </w:tc>
        <w:tc>
          <w:tcPr>
            <w:tcW w:w="3187" w:type="dxa"/>
          </w:tcPr>
          <w:p>
            <w:pPr>
              <w:pStyle w:val="TableParagraph"/>
              <w:spacing w:before="148"/>
              <w:ind w:left="78" w:right="65"/>
              <w:jc w:val="center"/>
              <w:rPr>
                <w:sz w:val="22"/>
              </w:rPr>
            </w:pPr>
            <w:r>
              <w:rPr>
                <w:w w:val="105"/>
                <w:sz w:val="22"/>
              </w:rPr>
              <w:t>minimum 8</w:t>
            </w:r>
          </w:p>
        </w:tc>
      </w:tr>
      <w:tr>
        <w:trPr>
          <w:trHeight w:val="561" w:hRule="atLeast"/>
        </w:trPr>
        <w:tc>
          <w:tcPr>
            <w:tcW w:w="881" w:type="dxa"/>
          </w:tcPr>
          <w:p>
            <w:pPr>
              <w:pStyle w:val="TableParagraph"/>
              <w:spacing w:before="148"/>
              <w:ind w:left="14"/>
              <w:jc w:val="center"/>
              <w:rPr>
                <w:sz w:val="22"/>
              </w:rPr>
            </w:pPr>
            <w:r>
              <w:rPr>
                <w:w w:val="111"/>
                <w:sz w:val="22"/>
              </w:rPr>
              <w:t>2</w:t>
            </w:r>
          </w:p>
        </w:tc>
        <w:tc>
          <w:tcPr>
            <w:tcW w:w="3367" w:type="dxa"/>
          </w:tcPr>
          <w:p>
            <w:pPr>
              <w:pStyle w:val="TableParagraph"/>
              <w:spacing w:before="148"/>
              <w:ind w:left="107" w:right="99"/>
              <w:jc w:val="center"/>
              <w:rPr>
                <w:sz w:val="22"/>
              </w:rPr>
            </w:pPr>
            <w:r>
              <w:rPr>
                <w:w w:val="110"/>
                <w:sz w:val="22"/>
              </w:rPr>
              <w:t>Between 30 and 60 portfolios</w:t>
            </w:r>
          </w:p>
        </w:tc>
        <w:tc>
          <w:tcPr>
            <w:tcW w:w="2193" w:type="dxa"/>
          </w:tcPr>
          <w:p>
            <w:pPr>
              <w:pStyle w:val="TableParagraph"/>
              <w:spacing w:before="148"/>
              <w:ind w:left="133" w:right="120"/>
              <w:jc w:val="center"/>
              <w:rPr>
                <w:sz w:val="22"/>
              </w:rPr>
            </w:pPr>
            <w:r>
              <w:rPr>
                <w:w w:val="110"/>
                <w:sz w:val="22"/>
              </w:rPr>
              <w:t>20 consecutive</w:t>
            </w:r>
          </w:p>
        </w:tc>
        <w:tc>
          <w:tcPr>
            <w:tcW w:w="3187" w:type="dxa"/>
          </w:tcPr>
          <w:p>
            <w:pPr>
              <w:pStyle w:val="TableParagraph"/>
              <w:spacing w:before="148"/>
              <w:ind w:left="78" w:right="64"/>
              <w:jc w:val="center"/>
              <w:rPr>
                <w:sz w:val="22"/>
              </w:rPr>
            </w:pPr>
            <w:r>
              <w:rPr>
                <w:w w:val="105"/>
                <w:sz w:val="22"/>
              </w:rPr>
              <w:t>minimum 8</w:t>
            </w:r>
          </w:p>
        </w:tc>
      </w:tr>
      <w:tr>
        <w:trPr>
          <w:trHeight w:val="561" w:hRule="atLeast"/>
        </w:trPr>
        <w:tc>
          <w:tcPr>
            <w:tcW w:w="881" w:type="dxa"/>
          </w:tcPr>
          <w:p>
            <w:pPr>
              <w:pStyle w:val="TableParagraph"/>
              <w:spacing w:before="148"/>
              <w:ind w:left="14"/>
              <w:jc w:val="center"/>
              <w:rPr>
                <w:sz w:val="22"/>
              </w:rPr>
            </w:pPr>
            <w:r>
              <w:rPr>
                <w:w w:val="111"/>
                <w:sz w:val="22"/>
              </w:rPr>
              <w:t>3</w:t>
            </w:r>
          </w:p>
        </w:tc>
        <w:tc>
          <w:tcPr>
            <w:tcW w:w="3367" w:type="dxa"/>
          </w:tcPr>
          <w:p>
            <w:pPr>
              <w:pStyle w:val="TableParagraph"/>
              <w:spacing w:before="148"/>
              <w:ind w:left="112" w:right="99"/>
              <w:jc w:val="center"/>
              <w:rPr>
                <w:sz w:val="22"/>
              </w:rPr>
            </w:pPr>
            <w:r>
              <w:rPr>
                <w:w w:val="110"/>
                <w:sz w:val="22"/>
              </w:rPr>
              <w:t>Between 60 and 100 portfolios</w:t>
            </w:r>
          </w:p>
        </w:tc>
        <w:tc>
          <w:tcPr>
            <w:tcW w:w="2193" w:type="dxa"/>
          </w:tcPr>
          <w:p>
            <w:pPr>
              <w:pStyle w:val="TableParagraph"/>
              <w:spacing w:before="148"/>
              <w:ind w:left="133" w:right="120"/>
              <w:jc w:val="center"/>
              <w:rPr>
                <w:sz w:val="22"/>
              </w:rPr>
            </w:pPr>
            <w:r>
              <w:rPr>
                <w:w w:val="110"/>
                <w:sz w:val="22"/>
              </w:rPr>
              <w:t>20 consecutive</w:t>
            </w:r>
          </w:p>
        </w:tc>
        <w:tc>
          <w:tcPr>
            <w:tcW w:w="3187" w:type="dxa"/>
          </w:tcPr>
          <w:p>
            <w:pPr>
              <w:pStyle w:val="TableParagraph"/>
              <w:spacing w:before="148"/>
              <w:ind w:left="78" w:right="65"/>
              <w:jc w:val="center"/>
              <w:rPr>
                <w:sz w:val="22"/>
              </w:rPr>
            </w:pPr>
            <w:r>
              <w:rPr>
                <w:w w:val="105"/>
                <w:sz w:val="22"/>
              </w:rPr>
              <w:t>minimum 8</w:t>
            </w:r>
          </w:p>
        </w:tc>
      </w:tr>
      <w:tr>
        <w:trPr>
          <w:trHeight w:val="561" w:hRule="atLeast"/>
        </w:trPr>
        <w:tc>
          <w:tcPr>
            <w:tcW w:w="881" w:type="dxa"/>
          </w:tcPr>
          <w:p>
            <w:pPr>
              <w:pStyle w:val="TableParagraph"/>
              <w:spacing w:before="148"/>
              <w:ind w:left="14"/>
              <w:jc w:val="center"/>
              <w:rPr>
                <w:sz w:val="22"/>
              </w:rPr>
            </w:pPr>
            <w:r>
              <w:rPr>
                <w:w w:val="111"/>
                <w:sz w:val="22"/>
              </w:rPr>
              <w:t>4</w:t>
            </w:r>
          </w:p>
        </w:tc>
        <w:tc>
          <w:tcPr>
            <w:tcW w:w="3367" w:type="dxa"/>
          </w:tcPr>
          <w:p>
            <w:pPr>
              <w:pStyle w:val="TableParagraph"/>
              <w:spacing w:before="148"/>
              <w:ind w:left="112" w:right="99"/>
              <w:jc w:val="center"/>
              <w:rPr>
                <w:sz w:val="22"/>
              </w:rPr>
            </w:pPr>
            <w:r>
              <w:rPr>
                <w:w w:val="110"/>
                <w:sz w:val="22"/>
              </w:rPr>
              <w:t>Between 100 and 200 portfolios</w:t>
            </w:r>
          </w:p>
        </w:tc>
        <w:tc>
          <w:tcPr>
            <w:tcW w:w="2193" w:type="dxa"/>
          </w:tcPr>
          <w:p>
            <w:pPr>
              <w:pStyle w:val="TableParagraph"/>
              <w:spacing w:before="148"/>
              <w:ind w:left="133" w:right="121"/>
              <w:jc w:val="center"/>
              <w:rPr>
                <w:sz w:val="22"/>
              </w:rPr>
            </w:pPr>
            <w:r>
              <w:rPr>
                <w:w w:val="110"/>
                <w:sz w:val="22"/>
              </w:rPr>
              <w:t>10 - 15 consecutive</w:t>
            </w:r>
          </w:p>
        </w:tc>
        <w:tc>
          <w:tcPr>
            <w:tcW w:w="3187" w:type="dxa"/>
          </w:tcPr>
          <w:p>
            <w:pPr>
              <w:pStyle w:val="TableParagraph"/>
              <w:spacing w:before="148"/>
              <w:ind w:left="77" w:right="68"/>
              <w:jc w:val="center"/>
              <w:rPr>
                <w:sz w:val="22"/>
              </w:rPr>
            </w:pPr>
            <w:r>
              <w:rPr>
                <w:w w:val="105"/>
                <w:sz w:val="22"/>
              </w:rPr>
              <w:t>Discretion of check marker</w:t>
            </w:r>
          </w:p>
        </w:tc>
      </w:tr>
    </w:tbl>
    <w:p>
      <w:pPr>
        <w:pStyle w:val="BodyText"/>
        <w:spacing w:before="5"/>
        <w:rPr>
          <w:sz w:val="12"/>
        </w:rPr>
      </w:pPr>
    </w:p>
    <w:p>
      <w:pPr>
        <w:pStyle w:val="BodyText"/>
        <w:spacing w:before="91"/>
        <w:ind w:left="392"/>
      </w:pPr>
      <w:r>
        <w:rPr>
          <w:w w:val="120"/>
        </w:rPr>
        <w:t>Check marking Feedback to Markers:</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w w:val="110"/>
          <w:sz w:val="22"/>
        </w:rPr>
        <w:t>pre-arrange a time to make contact for feedback by phone or</w:t>
      </w:r>
      <w:r>
        <w:rPr>
          <w:spacing w:val="-4"/>
          <w:w w:val="110"/>
          <w:sz w:val="22"/>
        </w:rPr>
        <w:t> </w:t>
      </w:r>
      <w:r>
        <w:rPr>
          <w:w w:val="110"/>
          <w:sz w:val="22"/>
        </w:rPr>
        <w:t>mobile</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w w:val="110"/>
          <w:sz w:val="22"/>
        </w:rPr>
        <w:t>feedback to markers immediately after each batch of check marking has been</w:t>
      </w:r>
      <w:r>
        <w:rPr>
          <w:spacing w:val="34"/>
          <w:w w:val="110"/>
          <w:sz w:val="22"/>
        </w:rPr>
        <w:t> </w:t>
      </w:r>
      <w:r>
        <w:rPr>
          <w:w w:val="110"/>
          <w:sz w:val="22"/>
        </w:rPr>
        <w:t>completed</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w w:val="105"/>
          <w:sz w:val="22"/>
        </w:rPr>
        <w:t>phone</w:t>
      </w:r>
      <w:r>
        <w:rPr>
          <w:spacing w:val="36"/>
          <w:w w:val="105"/>
          <w:sz w:val="22"/>
        </w:rPr>
        <w:t> </w:t>
      </w:r>
      <w:r>
        <w:rPr>
          <w:w w:val="105"/>
          <w:sz w:val="22"/>
        </w:rPr>
        <w:t>all</w:t>
      </w:r>
      <w:r>
        <w:rPr>
          <w:spacing w:val="37"/>
          <w:w w:val="105"/>
          <w:sz w:val="22"/>
        </w:rPr>
        <w:t> </w:t>
      </w:r>
      <w:r>
        <w:rPr>
          <w:w w:val="105"/>
          <w:sz w:val="22"/>
        </w:rPr>
        <w:t>markers</w:t>
      </w:r>
      <w:r>
        <w:rPr>
          <w:spacing w:val="34"/>
          <w:w w:val="105"/>
          <w:sz w:val="22"/>
        </w:rPr>
        <w:t> </w:t>
      </w:r>
      <w:r>
        <w:rPr>
          <w:w w:val="105"/>
          <w:sz w:val="22"/>
        </w:rPr>
        <w:t>even</w:t>
      </w:r>
      <w:r>
        <w:rPr>
          <w:spacing w:val="37"/>
          <w:w w:val="105"/>
          <w:sz w:val="22"/>
        </w:rPr>
        <w:t> </w:t>
      </w:r>
      <w:r>
        <w:rPr>
          <w:w w:val="105"/>
          <w:sz w:val="22"/>
        </w:rPr>
        <w:t>if</w:t>
      </w:r>
      <w:r>
        <w:rPr>
          <w:spacing w:val="37"/>
          <w:w w:val="105"/>
          <w:sz w:val="22"/>
        </w:rPr>
        <w:t> </w:t>
      </w:r>
      <w:r>
        <w:rPr>
          <w:w w:val="105"/>
          <w:sz w:val="22"/>
        </w:rPr>
        <w:t>there</w:t>
      </w:r>
      <w:r>
        <w:rPr>
          <w:spacing w:val="31"/>
          <w:w w:val="105"/>
          <w:sz w:val="22"/>
        </w:rPr>
        <w:t> </w:t>
      </w:r>
      <w:r>
        <w:rPr>
          <w:w w:val="105"/>
          <w:sz w:val="22"/>
        </w:rPr>
        <w:t>are</w:t>
      </w:r>
      <w:r>
        <w:rPr>
          <w:spacing w:val="35"/>
          <w:w w:val="105"/>
          <w:sz w:val="22"/>
        </w:rPr>
        <w:t> </w:t>
      </w:r>
      <w:r>
        <w:rPr>
          <w:w w:val="105"/>
          <w:sz w:val="22"/>
        </w:rPr>
        <w:t>no</w:t>
      </w:r>
      <w:r>
        <w:rPr>
          <w:spacing w:val="37"/>
          <w:w w:val="105"/>
          <w:sz w:val="22"/>
        </w:rPr>
        <w:t> </w:t>
      </w:r>
      <w:r>
        <w:rPr>
          <w:w w:val="105"/>
          <w:sz w:val="22"/>
        </w:rPr>
        <w:t>apparent</w:t>
      </w:r>
      <w:r>
        <w:rPr>
          <w:spacing w:val="37"/>
          <w:w w:val="105"/>
          <w:sz w:val="22"/>
        </w:rPr>
        <w:t> </w:t>
      </w:r>
      <w:r>
        <w:rPr>
          <w:w w:val="105"/>
          <w:sz w:val="22"/>
        </w:rPr>
        <w:t>problems</w:t>
      </w:r>
    </w:p>
    <w:p>
      <w:pPr>
        <w:pStyle w:val="ListParagraph"/>
        <w:numPr>
          <w:ilvl w:val="0"/>
          <w:numId w:val="2"/>
        </w:numPr>
        <w:tabs>
          <w:tab w:pos="749" w:val="left" w:leader="none"/>
          <w:tab w:pos="750" w:val="left" w:leader="none"/>
        </w:tabs>
        <w:spacing w:line="240" w:lineRule="auto" w:before="133" w:after="0"/>
        <w:ind w:left="749" w:right="0" w:hanging="357"/>
        <w:jc w:val="left"/>
        <w:rPr>
          <w:sz w:val="22"/>
        </w:rPr>
      </w:pPr>
      <w:r>
        <w:rPr>
          <w:w w:val="115"/>
          <w:sz w:val="22"/>
        </w:rPr>
        <w:t>have</w:t>
      </w:r>
      <w:r>
        <w:rPr>
          <w:spacing w:val="-20"/>
          <w:w w:val="115"/>
          <w:sz w:val="22"/>
        </w:rPr>
        <w:t> </w:t>
      </w:r>
      <w:r>
        <w:rPr>
          <w:w w:val="115"/>
          <w:sz w:val="22"/>
        </w:rPr>
        <w:t>on</w:t>
      </w:r>
      <w:r>
        <w:rPr>
          <w:spacing w:val="-20"/>
          <w:w w:val="115"/>
          <w:sz w:val="22"/>
        </w:rPr>
        <w:t> </w:t>
      </w:r>
      <w:r>
        <w:rPr>
          <w:w w:val="115"/>
          <w:sz w:val="22"/>
        </w:rPr>
        <w:t>hand</w:t>
      </w:r>
      <w:r>
        <w:rPr>
          <w:spacing w:val="-20"/>
          <w:w w:val="115"/>
          <w:sz w:val="22"/>
        </w:rPr>
        <w:t> </w:t>
      </w:r>
      <w:r>
        <w:rPr>
          <w:w w:val="115"/>
          <w:sz w:val="22"/>
        </w:rPr>
        <w:t>the</w:t>
      </w:r>
      <w:r>
        <w:rPr>
          <w:spacing w:val="-21"/>
          <w:w w:val="115"/>
          <w:sz w:val="22"/>
        </w:rPr>
        <w:t> </w:t>
      </w:r>
      <w:r>
        <w:rPr>
          <w:w w:val="115"/>
          <w:sz w:val="22"/>
        </w:rPr>
        <w:t>portfolios</w:t>
      </w:r>
      <w:r>
        <w:rPr>
          <w:spacing w:val="-18"/>
          <w:w w:val="115"/>
          <w:sz w:val="22"/>
        </w:rPr>
        <w:t> </w:t>
      </w:r>
      <w:r>
        <w:rPr>
          <w:w w:val="115"/>
          <w:sz w:val="22"/>
        </w:rPr>
        <w:t>that</w:t>
      </w:r>
      <w:r>
        <w:rPr>
          <w:spacing w:val="-18"/>
          <w:w w:val="115"/>
          <w:sz w:val="22"/>
        </w:rPr>
        <w:t> </w:t>
      </w:r>
      <w:r>
        <w:rPr>
          <w:w w:val="115"/>
          <w:sz w:val="22"/>
        </w:rPr>
        <w:t>have</w:t>
      </w:r>
      <w:r>
        <w:rPr>
          <w:spacing w:val="-20"/>
          <w:w w:val="115"/>
          <w:sz w:val="22"/>
        </w:rPr>
        <w:t> </w:t>
      </w:r>
      <w:r>
        <w:rPr>
          <w:w w:val="115"/>
          <w:sz w:val="22"/>
        </w:rPr>
        <w:t>been</w:t>
      </w:r>
      <w:r>
        <w:rPr>
          <w:spacing w:val="-21"/>
          <w:w w:val="115"/>
          <w:sz w:val="22"/>
        </w:rPr>
        <w:t> </w:t>
      </w:r>
      <w:r>
        <w:rPr>
          <w:w w:val="115"/>
          <w:sz w:val="22"/>
        </w:rPr>
        <w:t>check</w:t>
      </w:r>
      <w:r>
        <w:rPr>
          <w:spacing w:val="-22"/>
          <w:w w:val="115"/>
          <w:sz w:val="22"/>
        </w:rPr>
        <w:t> </w:t>
      </w:r>
      <w:r>
        <w:rPr>
          <w:w w:val="115"/>
          <w:sz w:val="22"/>
        </w:rPr>
        <w:t>marked</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w w:val="110"/>
          <w:sz w:val="22"/>
        </w:rPr>
        <w:t>tick off comments on the check markers record form as they are</w:t>
      </w:r>
      <w:r>
        <w:rPr>
          <w:spacing w:val="3"/>
          <w:w w:val="110"/>
          <w:sz w:val="22"/>
        </w:rPr>
        <w:t> </w:t>
      </w:r>
      <w:r>
        <w:rPr>
          <w:w w:val="110"/>
          <w:sz w:val="22"/>
        </w:rPr>
        <w:t>made</w:t>
      </w:r>
    </w:p>
    <w:p>
      <w:pPr>
        <w:pStyle w:val="ListParagraph"/>
        <w:numPr>
          <w:ilvl w:val="0"/>
          <w:numId w:val="2"/>
        </w:numPr>
        <w:tabs>
          <w:tab w:pos="749" w:val="left" w:leader="none"/>
          <w:tab w:pos="750" w:val="left" w:leader="none"/>
        </w:tabs>
        <w:spacing w:line="240" w:lineRule="auto" w:before="133" w:after="0"/>
        <w:ind w:left="749" w:right="0" w:hanging="357"/>
        <w:jc w:val="left"/>
        <w:rPr>
          <w:sz w:val="22"/>
        </w:rPr>
      </w:pPr>
      <w:r>
        <w:rPr>
          <w:w w:val="105"/>
          <w:sz w:val="22"/>
        </w:rPr>
        <w:t>start with positive</w:t>
      </w:r>
      <w:r>
        <w:rPr>
          <w:spacing w:val="13"/>
          <w:w w:val="105"/>
          <w:sz w:val="22"/>
        </w:rPr>
        <w:t> </w:t>
      </w:r>
      <w:r>
        <w:rPr>
          <w:w w:val="105"/>
          <w:sz w:val="22"/>
        </w:rPr>
        <w:t>comments</w:t>
      </w:r>
    </w:p>
    <w:p>
      <w:pPr>
        <w:pStyle w:val="ListParagraph"/>
        <w:numPr>
          <w:ilvl w:val="0"/>
          <w:numId w:val="2"/>
        </w:numPr>
        <w:tabs>
          <w:tab w:pos="749" w:val="left" w:leader="none"/>
          <w:tab w:pos="750" w:val="left" w:leader="none"/>
        </w:tabs>
        <w:spacing w:line="240" w:lineRule="auto" w:before="134" w:after="0"/>
        <w:ind w:left="750" w:right="1064" w:hanging="358"/>
        <w:jc w:val="left"/>
        <w:rPr>
          <w:sz w:val="22"/>
        </w:rPr>
      </w:pPr>
      <w:r>
        <w:rPr>
          <w:w w:val="110"/>
          <w:sz w:val="22"/>
        </w:rPr>
        <w:t>identify areas where there are problems and give advice and strategies on how to improve reliability of</w:t>
      </w:r>
      <w:r>
        <w:rPr>
          <w:spacing w:val="1"/>
          <w:w w:val="110"/>
          <w:sz w:val="22"/>
        </w:rPr>
        <w:t> </w:t>
      </w:r>
      <w:r>
        <w:rPr>
          <w:w w:val="110"/>
          <w:sz w:val="22"/>
        </w:rPr>
        <w:t>assessment</w:t>
      </w:r>
    </w:p>
    <w:p>
      <w:pPr>
        <w:pStyle w:val="ListParagraph"/>
        <w:numPr>
          <w:ilvl w:val="0"/>
          <w:numId w:val="2"/>
        </w:numPr>
        <w:tabs>
          <w:tab w:pos="749" w:val="left" w:leader="none"/>
          <w:tab w:pos="750" w:val="left" w:leader="none"/>
        </w:tabs>
        <w:spacing w:line="240" w:lineRule="auto" w:before="135" w:after="0"/>
        <w:ind w:left="750" w:right="1224" w:hanging="358"/>
        <w:jc w:val="left"/>
        <w:rPr>
          <w:sz w:val="22"/>
        </w:rPr>
      </w:pPr>
      <w:r>
        <w:rPr>
          <w:w w:val="105"/>
          <w:sz w:val="22"/>
        </w:rPr>
        <w:t>instruct them to check all portfolios they have marked since the last check marking and </w:t>
      </w:r>
      <w:r>
        <w:rPr>
          <w:spacing w:val="-3"/>
          <w:w w:val="105"/>
          <w:sz w:val="22"/>
        </w:rPr>
        <w:t>if </w:t>
      </w:r>
      <w:r>
        <w:rPr>
          <w:w w:val="105"/>
          <w:sz w:val="22"/>
        </w:rPr>
        <w:t>necessary make</w:t>
      </w:r>
      <w:r>
        <w:rPr>
          <w:spacing w:val="12"/>
          <w:w w:val="105"/>
          <w:sz w:val="22"/>
        </w:rPr>
        <w:t> </w:t>
      </w:r>
      <w:r>
        <w:rPr>
          <w:w w:val="105"/>
          <w:sz w:val="22"/>
        </w:rPr>
        <w:t>adjustments</w:t>
      </w:r>
    </w:p>
    <w:p>
      <w:pPr>
        <w:pStyle w:val="ListParagraph"/>
        <w:numPr>
          <w:ilvl w:val="0"/>
          <w:numId w:val="2"/>
        </w:numPr>
        <w:tabs>
          <w:tab w:pos="749" w:val="left" w:leader="none"/>
          <w:tab w:pos="750" w:val="left" w:leader="none"/>
        </w:tabs>
        <w:spacing w:line="240" w:lineRule="auto" w:before="135" w:after="0"/>
        <w:ind w:left="750" w:right="842" w:hanging="358"/>
        <w:jc w:val="left"/>
        <w:rPr>
          <w:sz w:val="22"/>
        </w:rPr>
      </w:pPr>
      <w:r>
        <w:rPr>
          <w:w w:val="110"/>
          <w:sz w:val="22"/>
        </w:rPr>
        <w:t>ask them how many portfolios they have assessed (i.e. keep checking their progress against deadlines)</w:t>
      </w:r>
    </w:p>
    <w:p>
      <w:pPr>
        <w:pStyle w:val="ListParagraph"/>
        <w:numPr>
          <w:ilvl w:val="0"/>
          <w:numId w:val="2"/>
        </w:numPr>
        <w:tabs>
          <w:tab w:pos="749" w:val="left" w:leader="none"/>
          <w:tab w:pos="750" w:val="left" w:leader="none"/>
        </w:tabs>
        <w:spacing w:line="240" w:lineRule="auto" w:before="134" w:after="0"/>
        <w:ind w:left="750" w:right="756" w:hanging="358"/>
        <w:jc w:val="left"/>
        <w:rPr>
          <w:sz w:val="22"/>
        </w:rPr>
      </w:pPr>
      <w:r>
        <w:rPr>
          <w:w w:val="110"/>
          <w:sz w:val="22"/>
        </w:rPr>
        <w:t>return all portfolios used for check marking to the allocated Marker in the </w:t>
      </w:r>
      <w:r>
        <w:rPr>
          <w:color w:val="00AFEF"/>
          <w:w w:val="110"/>
          <w:sz w:val="22"/>
        </w:rPr>
        <w:t>blue </w:t>
      </w:r>
      <w:r>
        <w:rPr>
          <w:w w:val="110"/>
          <w:sz w:val="22"/>
        </w:rPr>
        <w:t>courier bag immediately after feedback has been given. Reuse the </w:t>
      </w:r>
      <w:r>
        <w:rPr>
          <w:spacing w:val="-2"/>
          <w:w w:val="110"/>
          <w:sz w:val="22"/>
        </w:rPr>
        <w:t>bag </w:t>
      </w:r>
      <w:r>
        <w:rPr>
          <w:w w:val="110"/>
          <w:sz w:val="22"/>
        </w:rPr>
        <w:t>the portfolios were sent in – place marker’s address sticker over the previous one </w:t>
      </w:r>
      <w:r>
        <w:rPr>
          <w:spacing w:val="-2"/>
          <w:w w:val="110"/>
          <w:sz w:val="22"/>
        </w:rPr>
        <w:t>and </w:t>
      </w:r>
      <w:r>
        <w:rPr>
          <w:w w:val="110"/>
          <w:sz w:val="22"/>
        </w:rPr>
        <w:t>attach a new CourierPost</w:t>
      </w:r>
      <w:r>
        <w:rPr>
          <w:spacing w:val="53"/>
          <w:w w:val="110"/>
          <w:sz w:val="22"/>
        </w:rPr>
        <w:t> </w:t>
      </w:r>
      <w:r>
        <w:rPr>
          <w:w w:val="110"/>
          <w:sz w:val="22"/>
        </w:rPr>
        <w:t>label</w:t>
      </w:r>
    </w:p>
    <w:p>
      <w:pPr>
        <w:pStyle w:val="BodyText"/>
        <w:spacing w:before="120"/>
        <w:ind w:left="392" w:right="580"/>
      </w:pPr>
      <w:r>
        <w:rPr>
          <w:w w:val="110"/>
        </w:rPr>
        <w:t>If a marker is not marking to a satisfactory standard, you should discuss the situation with the marker. Strategies may be developed to improve the marker’s skills, taking into consideration the time constraints of the assessment cycle. You may find it useful to assess some portfolios with the marker to give further assistance. You should discuss your concerns with the NAF at this point.</w:t>
      </w:r>
    </w:p>
    <w:p>
      <w:pPr>
        <w:pStyle w:val="BodyText"/>
        <w:spacing w:before="11"/>
        <w:rPr>
          <w:sz w:val="20"/>
        </w:rPr>
      </w:pPr>
    </w:p>
    <w:p>
      <w:pPr>
        <w:pStyle w:val="BodyText"/>
        <w:ind w:left="392" w:right="1004"/>
      </w:pPr>
      <w:r>
        <w:rPr>
          <w:w w:val="110"/>
        </w:rPr>
        <w:t>Further samples should be taken for check marking. This sampling must continue until you are satisfied that they are marking to an acceptable standard. Talk to the NAF first.</w:t>
      </w:r>
    </w:p>
    <w:p>
      <w:pPr>
        <w:pStyle w:val="BodyText"/>
        <w:spacing w:before="10"/>
        <w:rPr>
          <w:sz w:val="20"/>
        </w:rPr>
      </w:pPr>
    </w:p>
    <w:p>
      <w:pPr>
        <w:pStyle w:val="BodyText"/>
        <w:ind w:left="392" w:right="769"/>
      </w:pPr>
      <w:r>
        <w:rPr>
          <w:w w:val="110"/>
        </w:rPr>
        <w:t>Markers will be required to enter results daily throughout marking so a current view of results is maintained throughout the marking process and checked at regular intervals by the panel leader and NAF.</w:t>
      </w:r>
    </w:p>
    <w:p>
      <w:pPr>
        <w:pStyle w:val="BodyText"/>
        <w:spacing w:before="4"/>
        <w:rPr>
          <w:sz w:val="31"/>
        </w:rPr>
      </w:pPr>
    </w:p>
    <w:p>
      <w:pPr>
        <w:pStyle w:val="Heading3"/>
      </w:pPr>
      <w:bookmarkStart w:name="_TOC_250005" w:id="43"/>
      <w:bookmarkEnd w:id="43"/>
      <w:r>
        <w:rPr>
          <w:w w:val="115"/>
        </w:rPr>
        <w:t>Re-marking</w:t>
      </w:r>
    </w:p>
    <w:p>
      <w:pPr>
        <w:pStyle w:val="BodyText"/>
        <w:spacing w:before="120"/>
        <w:ind w:left="392" w:right="769"/>
      </w:pPr>
      <w:r>
        <w:rPr>
          <w:w w:val="110"/>
        </w:rPr>
        <w:t>Re-marking occurs when there is evidence that the assessment schedule has not been  interpreted or applied fairly during</w:t>
      </w:r>
      <w:r>
        <w:rPr>
          <w:spacing w:val="-4"/>
          <w:w w:val="110"/>
        </w:rPr>
        <w:t> </w:t>
      </w:r>
      <w:r>
        <w:rPr>
          <w:w w:val="110"/>
        </w:rPr>
        <w:t>marking.</w:t>
      </w:r>
    </w:p>
    <w:p>
      <w:pPr>
        <w:pStyle w:val="BodyText"/>
        <w:spacing w:before="8"/>
        <w:rPr>
          <w:sz w:val="20"/>
        </w:rPr>
      </w:pPr>
    </w:p>
    <w:p>
      <w:pPr>
        <w:pStyle w:val="BodyText"/>
        <w:ind w:left="392" w:right="769"/>
      </w:pPr>
      <w:r>
        <w:rPr>
          <w:w w:val="110"/>
        </w:rPr>
        <w:t>As the assessment schedule is a fixed, if a change is needed in how to interpret the assessment schedule, then all portfolios will need to be re-visited.</w:t>
      </w:r>
    </w:p>
    <w:p>
      <w:pPr>
        <w:pStyle w:val="BodyText"/>
        <w:spacing w:before="5"/>
        <w:rPr>
          <w:sz w:val="17"/>
        </w:rPr>
      </w:pPr>
      <w:r>
        <w:rPr/>
        <w:pict>
          <v:shape style="position:absolute;margin-left:56.880001pt;margin-top:12.242421pt;width:481.45pt;height:50.55pt;mso-position-horizontal-relative:page;mso-position-vertical-relative:paragraph;z-index:-400;mso-wrap-distance-left:0;mso-wrap-distance-right:0" type="#_x0000_t202" filled="true" fillcolor="#ffbf00" stroked="true" strokeweight=".480011pt" strokecolor="#000000">
            <v:textbox inset="0,0,0,0">
              <w:txbxContent>
                <w:p>
                  <w:pPr>
                    <w:pStyle w:val="BodyText"/>
                    <w:spacing w:before="121"/>
                    <w:ind w:left="391" w:right="384" w:hanging="1"/>
                    <w:jc w:val="center"/>
                  </w:pPr>
                  <w:r>
                    <w:rPr>
                      <w:w w:val="115"/>
                    </w:rPr>
                    <w:t>Any re-marking undertaken after 20 December will require extra remuneration of all portfolios, fully or partially re-marked, and will require an extension of your contract.</w:t>
                  </w:r>
                </w:p>
                <w:p>
                  <w:pPr>
                    <w:pStyle w:val="BodyText"/>
                    <w:ind w:left="354" w:right="349"/>
                    <w:jc w:val="center"/>
                  </w:pPr>
                  <w:r>
                    <w:rPr>
                      <w:w w:val="115"/>
                    </w:rPr>
                    <w:t>ONLY the Manager of Secondary Examination can grant this.</w:t>
                  </w:r>
                </w:p>
              </w:txbxContent>
            </v:textbox>
            <v:fill type="solid"/>
            <v:stroke dashstyle="solid"/>
            <w10:wrap type="topAndBottom"/>
          </v:shape>
        </w:pict>
      </w:r>
    </w:p>
    <w:p>
      <w:pPr>
        <w:pStyle w:val="BodyText"/>
        <w:spacing w:before="5"/>
        <w:rPr>
          <w:sz w:val="10"/>
        </w:rPr>
      </w:pPr>
    </w:p>
    <w:p>
      <w:pPr>
        <w:pStyle w:val="BodyText"/>
        <w:spacing w:before="92"/>
        <w:ind w:left="392" w:right="769"/>
      </w:pPr>
      <w:r>
        <w:rPr>
          <w:w w:val="110"/>
        </w:rPr>
        <w:t>If, after, sufficient marking has been completed, the spread of performance lies outside the expectations,</w:t>
      </w:r>
      <w:r>
        <w:rPr>
          <w:spacing w:val="-7"/>
          <w:w w:val="110"/>
        </w:rPr>
        <w:t> </w:t>
      </w:r>
      <w:r>
        <w:rPr>
          <w:w w:val="110"/>
        </w:rPr>
        <w:t>the</w:t>
      </w:r>
      <w:r>
        <w:rPr>
          <w:spacing w:val="-7"/>
          <w:w w:val="110"/>
        </w:rPr>
        <w:t> </w:t>
      </w:r>
      <w:r>
        <w:rPr>
          <w:w w:val="110"/>
        </w:rPr>
        <w:t>panel</w:t>
      </w:r>
      <w:r>
        <w:rPr>
          <w:spacing w:val="-10"/>
          <w:w w:val="110"/>
        </w:rPr>
        <w:t> </w:t>
      </w:r>
      <w:r>
        <w:rPr>
          <w:w w:val="110"/>
        </w:rPr>
        <w:t>leader</w:t>
      </w:r>
      <w:r>
        <w:rPr>
          <w:spacing w:val="-5"/>
          <w:w w:val="110"/>
        </w:rPr>
        <w:t> </w:t>
      </w:r>
      <w:r>
        <w:rPr>
          <w:w w:val="110"/>
        </w:rPr>
        <w:t>will</w:t>
      </w:r>
      <w:r>
        <w:rPr>
          <w:spacing w:val="-10"/>
          <w:w w:val="110"/>
        </w:rPr>
        <w:t> </w:t>
      </w:r>
      <w:r>
        <w:rPr>
          <w:w w:val="110"/>
        </w:rPr>
        <w:t>need</w:t>
      </w:r>
      <w:r>
        <w:rPr>
          <w:spacing w:val="-6"/>
          <w:w w:val="110"/>
        </w:rPr>
        <w:t> </w:t>
      </w:r>
      <w:r>
        <w:rPr>
          <w:w w:val="110"/>
        </w:rPr>
        <w:t>to</w:t>
      </w:r>
      <w:r>
        <w:rPr>
          <w:spacing w:val="-7"/>
          <w:w w:val="110"/>
        </w:rPr>
        <w:t> </w:t>
      </w:r>
      <w:r>
        <w:rPr>
          <w:w w:val="110"/>
        </w:rPr>
        <w:t>provide</w:t>
      </w:r>
      <w:r>
        <w:rPr>
          <w:spacing w:val="-6"/>
          <w:w w:val="110"/>
        </w:rPr>
        <w:t> </w:t>
      </w:r>
      <w:r>
        <w:rPr>
          <w:w w:val="110"/>
        </w:rPr>
        <w:t>the</w:t>
      </w:r>
      <w:r>
        <w:rPr>
          <w:spacing w:val="-8"/>
          <w:w w:val="110"/>
        </w:rPr>
        <w:t> </w:t>
      </w:r>
      <w:r>
        <w:rPr>
          <w:w w:val="110"/>
        </w:rPr>
        <w:t>NAF</w:t>
      </w:r>
      <w:r>
        <w:rPr>
          <w:spacing w:val="-7"/>
          <w:w w:val="110"/>
        </w:rPr>
        <w:t> </w:t>
      </w:r>
      <w:r>
        <w:rPr>
          <w:w w:val="110"/>
        </w:rPr>
        <w:t>with</w:t>
      </w:r>
      <w:r>
        <w:rPr>
          <w:spacing w:val="-8"/>
          <w:w w:val="110"/>
        </w:rPr>
        <w:t> </w:t>
      </w:r>
      <w:r>
        <w:rPr>
          <w:w w:val="110"/>
        </w:rPr>
        <w:t>an</w:t>
      </w:r>
      <w:r>
        <w:rPr>
          <w:spacing w:val="-4"/>
          <w:w w:val="110"/>
        </w:rPr>
        <w:t> </w:t>
      </w:r>
      <w:r>
        <w:rPr>
          <w:w w:val="110"/>
        </w:rPr>
        <w:t>explanation</w:t>
      </w:r>
      <w:r>
        <w:rPr>
          <w:spacing w:val="-6"/>
          <w:w w:val="110"/>
        </w:rPr>
        <w:t> </w:t>
      </w:r>
      <w:r>
        <w:rPr>
          <w:w w:val="110"/>
        </w:rPr>
        <w:t>of</w:t>
      </w:r>
      <w:r>
        <w:rPr>
          <w:spacing w:val="-5"/>
          <w:w w:val="110"/>
        </w:rPr>
        <w:t> </w:t>
      </w:r>
      <w:r>
        <w:rPr>
          <w:w w:val="110"/>
        </w:rPr>
        <w:t>why</w:t>
      </w:r>
      <w:r>
        <w:rPr>
          <w:spacing w:val="-8"/>
          <w:w w:val="110"/>
        </w:rPr>
        <w:t> </w:t>
      </w:r>
      <w:r>
        <w:rPr>
          <w:w w:val="110"/>
        </w:rPr>
        <w:t>this</w:t>
      </w:r>
      <w:r>
        <w:rPr>
          <w:spacing w:val="-7"/>
          <w:w w:val="110"/>
        </w:rPr>
        <w:t> </w:t>
      </w:r>
      <w:r>
        <w:rPr>
          <w:w w:val="110"/>
        </w:rPr>
        <w:t>may</w:t>
      </w:r>
    </w:p>
    <w:p>
      <w:pPr>
        <w:spacing w:after="0"/>
        <w:sectPr>
          <w:pgSz w:w="11910" w:h="16840"/>
          <w:pgMar w:header="0" w:footer="297" w:top="840" w:bottom="480" w:left="740" w:right="580"/>
        </w:sectPr>
      </w:pPr>
    </w:p>
    <w:p>
      <w:pPr>
        <w:pStyle w:val="BodyText"/>
        <w:spacing w:before="74"/>
        <w:ind w:left="392" w:right="661"/>
      </w:pPr>
      <w:r>
        <w:rPr>
          <w:w w:val="110"/>
        </w:rPr>
        <w:t>have occurred. A completed check-list of possible factors must support this explanation, including whether:</w:t>
      </w:r>
    </w:p>
    <w:p>
      <w:pPr>
        <w:pStyle w:val="ListParagraph"/>
        <w:numPr>
          <w:ilvl w:val="0"/>
          <w:numId w:val="2"/>
        </w:numPr>
        <w:tabs>
          <w:tab w:pos="749" w:val="left" w:leader="none"/>
          <w:tab w:pos="750" w:val="left" w:leader="none"/>
        </w:tabs>
        <w:spacing w:line="240" w:lineRule="auto" w:before="135" w:after="0"/>
        <w:ind w:left="750" w:right="879" w:hanging="358"/>
        <w:jc w:val="left"/>
        <w:rPr>
          <w:sz w:val="22"/>
        </w:rPr>
      </w:pPr>
      <w:r>
        <w:rPr>
          <w:w w:val="105"/>
          <w:sz w:val="22"/>
        </w:rPr>
        <w:t>this is a new standard or a new version with significant difference which justify the change in results</w:t>
      </w:r>
      <w:r>
        <w:rPr>
          <w:spacing w:val="1"/>
          <w:w w:val="105"/>
          <w:sz w:val="22"/>
        </w:rPr>
        <w:t> </w:t>
      </w:r>
      <w:r>
        <w:rPr>
          <w:w w:val="105"/>
          <w:sz w:val="22"/>
        </w:rPr>
        <w:t>distribution</w:t>
      </w:r>
    </w:p>
    <w:p>
      <w:pPr>
        <w:pStyle w:val="ListParagraph"/>
        <w:numPr>
          <w:ilvl w:val="0"/>
          <w:numId w:val="2"/>
        </w:numPr>
        <w:tabs>
          <w:tab w:pos="749" w:val="left" w:leader="none"/>
          <w:tab w:pos="750" w:val="left" w:leader="none"/>
        </w:tabs>
        <w:spacing w:line="240" w:lineRule="auto" w:before="75" w:after="0"/>
        <w:ind w:left="750" w:right="674" w:hanging="358"/>
        <w:jc w:val="left"/>
        <w:rPr>
          <w:sz w:val="22"/>
        </w:rPr>
      </w:pPr>
      <w:r>
        <w:rPr>
          <w:w w:val="110"/>
          <w:sz w:val="22"/>
        </w:rPr>
        <w:t>there is evidence of a significant change or difference in the cohort, that may be indicated by a change in the entry numbers; entry numbers between standards at the same level may also vary considerably within the same</w:t>
      </w:r>
      <w:r>
        <w:rPr>
          <w:spacing w:val="4"/>
          <w:w w:val="110"/>
          <w:sz w:val="22"/>
        </w:rPr>
        <w:t> </w:t>
      </w:r>
      <w:r>
        <w:rPr>
          <w:w w:val="110"/>
          <w:sz w:val="22"/>
        </w:rPr>
        <w:t>year</w:t>
      </w:r>
    </w:p>
    <w:p>
      <w:pPr>
        <w:pStyle w:val="ListParagraph"/>
        <w:numPr>
          <w:ilvl w:val="0"/>
          <w:numId w:val="2"/>
        </w:numPr>
        <w:tabs>
          <w:tab w:pos="749" w:val="left" w:leader="none"/>
          <w:tab w:pos="750" w:val="left" w:leader="none"/>
        </w:tabs>
        <w:spacing w:line="240" w:lineRule="auto" w:before="74" w:after="0"/>
        <w:ind w:left="750" w:right="1136" w:hanging="358"/>
        <w:jc w:val="left"/>
        <w:rPr>
          <w:sz w:val="22"/>
        </w:rPr>
      </w:pPr>
      <w:r>
        <w:rPr>
          <w:w w:val="110"/>
          <w:sz w:val="22"/>
        </w:rPr>
        <w:t>there is evidence of a change in the level of performance of the cohort – for example, comments</w:t>
      </w:r>
      <w:r>
        <w:rPr>
          <w:spacing w:val="8"/>
          <w:w w:val="110"/>
          <w:sz w:val="22"/>
        </w:rPr>
        <w:t> </w:t>
      </w:r>
      <w:r>
        <w:rPr>
          <w:w w:val="110"/>
          <w:sz w:val="22"/>
        </w:rPr>
        <w:t>made</w:t>
      </w:r>
      <w:r>
        <w:rPr>
          <w:spacing w:val="9"/>
          <w:w w:val="110"/>
          <w:sz w:val="22"/>
        </w:rPr>
        <w:t> </w:t>
      </w:r>
      <w:r>
        <w:rPr>
          <w:w w:val="110"/>
          <w:sz w:val="22"/>
        </w:rPr>
        <w:t>in</w:t>
      </w:r>
      <w:r>
        <w:rPr>
          <w:spacing w:val="7"/>
          <w:w w:val="110"/>
          <w:sz w:val="22"/>
        </w:rPr>
        <w:t> </w:t>
      </w:r>
      <w:r>
        <w:rPr>
          <w:w w:val="110"/>
          <w:sz w:val="22"/>
        </w:rPr>
        <w:t>the</w:t>
      </w:r>
      <w:r>
        <w:rPr>
          <w:spacing w:val="11"/>
          <w:w w:val="110"/>
          <w:sz w:val="22"/>
        </w:rPr>
        <w:t> </w:t>
      </w:r>
      <w:r>
        <w:rPr>
          <w:w w:val="110"/>
          <w:sz w:val="22"/>
        </w:rPr>
        <w:t>previous</w:t>
      </w:r>
      <w:r>
        <w:rPr>
          <w:spacing w:val="10"/>
          <w:w w:val="110"/>
          <w:sz w:val="22"/>
        </w:rPr>
        <w:t> </w:t>
      </w:r>
      <w:r>
        <w:rPr>
          <w:w w:val="110"/>
          <w:sz w:val="22"/>
        </w:rPr>
        <w:t>Assessment</w:t>
      </w:r>
      <w:r>
        <w:rPr>
          <w:spacing w:val="14"/>
          <w:w w:val="110"/>
          <w:sz w:val="22"/>
        </w:rPr>
        <w:t> </w:t>
      </w:r>
      <w:r>
        <w:rPr>
          <w:w w:val="110"/>
          <w:sz w:val="22"/>
        </w:rPr>
        <w:t>Report</w:t>
      </w:r>
      <w:r>
        <w:rPr>
          <w:spacing w:val="8"/>
          <w:w w:val="110"/>
          <w:sz w:val="22"/>
        </w:rPr>
        <w:t> </w:t>
      </w:r>
      <w:r>
        <w:rPr>
          <w:w w:val="110"/>
          <w:sz w:val="22"/>
        </w:rPr>
        <w:t>have</w:t>
      </w:r>
      <w:r>
        <w:rPr>
          <w:spacing w:val="12"/>
          <w:w w:val="110"/>
          <w:sz w:val="22"/>
        </w:rPr>
        <w:t> </w:t>
      </w:r>
      <w:r>
        <w:rPr>
          <w:w w:val="110"/>
          <w:sz w:val="22"/>
        </w:rPr>
        <w:t>obviously</w:t>
      </w:r>
      <w:r>
        <w:rPr>
          <w:spacing w:val="8"/>
          <w:w w:val="110"/>
          <w:sz w:val="22"/>
        </w:rPr>
        <w:t> </w:t>
      </w:r>
      <w:r>
        <w:rPr>
          <w:w w:val="110"/>
          <w:sz w:val="22"/>
        </w:rPr>
        <w:t>been</w:t>
      </w:r>
      <w:r>
        <w:rPr>
          <w:spacing w:val="11"/>
          <w:w w:val="110"/>
          <w:sz w:val="22"/>
        </w:rPr>
        <w:t> </w:t>
      </w:r>
      <w:r>
        <w:rPr>
          <w:w w:val="110"/>
          <w:sz w:val="22"/>
        </w:rPr>
        <w:t>taken</w:t>
      </w:r>
      <w:r>
        <w:rPr>
          <w:spacing w:val="9"/>
          <w:w w:val="110"/>
          <w:sz w:val="22"/>
        </w:rPr>
        <w:t> </w:t>
      </w:r>
      <w:r>
        <w:rPr>
          <w:w w:val="110"/>
          <w:sz w:val="22"/>
        </w:rPr>
        <w:t>on</w:t>
      </w:r>
      <w:r>
        <w:rPr>
          <w:spacing w:val="11"/>
          <w:w w:val="110"/>
          <w:sz w:val="22"/>
        </w:rPr>
        <w:t> </w:t>
      </w:r>
      <w:r>
        <w:rPr>
          <w:w w:val="110"/>
          <w:sz w:val="22"/>
        </w:rPr>
        <w:t>board</w:t>
      </w:r>
    </w:p>
    <w:p>
      <w:pPr>
        <w:pStyle w:val="ListParagraph"/>
        <w:numPr>
          <w:ilvl w:val="0"/>
          <w:numId w:val="2"/>
        </w:numPr>
        <w:tabs>
          <w:tab w:pos="750" w:val="left" w:leader="none"/>
        </w:tabs>
        <w:spacing w:line="240" w:lineRule="auto" w:before="75" w:after="0"/>
        <w:ind w:left="750" w:right="1209" w:hanging="358"/>
        <w:jc w:val="both"/>
        <w:rPr>
          <w:sz w:val="22"/>
        </w:rPr>
      </w:pPr>
      <w:r>
        <w:rPr>
          <w:w w:val="110"/>
          <w:sz w:val="22"/>
        </w:rPr>
        <w:t>intervention strategies have been undertaken by the sector to address issues specifically related to assessment of this achievement standard? For example, there may have been significant professional development undertaken by the Subject</w:t>
      </w:r>
      <w:r>
        <w:rPr>
          <w:spacing w:val="-8"/>
          <w:w w:val="110"/>
          <w:sz w:val="22"/>
        </w:rPr>
        <w:t> </w:t>
      </w:r>
      <w:r>
        <w:rPr>
          <w:w w:val="110"/>
          <w:sz w:val="22"/>
        </w:rPr>
        <w:t>Association.</w:t>
      </w:r>
    </w:p>
    <w:p>
      <w:pPr>
        <w:pStyle w:val="BodyText"/>
        <w:spacing w:before="3"/>
        <w:rPr>
          <w:sz w:val="27"/>
        </w:rPr>
      </w:pPr>
    </w:p>
    <w:p>
      <w:pPr>
        <w:pStyle w:val="BodyText"/>
        <w:ind w:left="392" w:right="769"/>
      </w:pPr>
      <w:r>
        <w:rPr>
          <w:w w:val="110"/>
        </w:rPr>
        <w:t>The panel leader report may include these comments, and they may be subsequently included as part of the Assessment Report published in April.</w:t>
      </w:r>
    </w:p>
    <w:p>
      <w:pPr>
        <w:pStyle w:val="BodyText"/>
        <w:spacing w:before="8"/>
        <w:rPr>
          <w:sz w:val="20"/>
        </w:rPr>
      </w:pPr>
    </w:p>
    <w:p>
      <w:pPr>
        <w:pStyle w:val="BodyText"/>
        <w:ind w:left="392" w:right="769"/>
      </w:pPr>
      <w:r>
        <w:rPr>
          <w:w w:val="105"/>
        </w:rPr>
        <w:t>To cover the highly unlikely event that the final  results  are  unjustifiably  outside  the  PEP parameters, there is a possibility that all portfolios will need to be re-marked. It is likely the need for such  work would be known sufficiently in advance  of  Christmas, for the work to be completed by  this time. In the extremely unlikely event that is  cannot  be  completed  before  Christmas, markers may</w:t>
      </w:r>
      <w:r>
        <w:rPr>
          <w:spacing w:val="13"/>
          <w:w w:val="105"/>
        </w:rPr>
        <w:t> </w:t>
      </w:r>
      <w:r>
        <w:rPr>
          <w:w w:val="105"/>
        </w:rPr>
        <w:t>be</w:t>
      </w:r>
      <w:r>
        <w:rPr>
          <w:spacing w:val="16"/>
          <w:w w:val="105"/>
        </w:rPr>
        <w:t> </w:t>
      </w:r>
      <w:r>
        <w:rPr>
          <w:w w:val="105"/>
        </w:rPr>
        <w:t>asked</w:t>
      </w:r>
      <w:r>
        <w:rPr>
          <w:spacing w:val="15"/>
          <w:w w:val="105"/>
        </w:rPr>
        <w:t> </w:t>
      </w:r>
      <w:r>
        <w:rPr>
          <w:w w:val="105"/>
        </w:rPr>
        <w:t>about</w:t>
      </w:r>
      <w:r>
        <w:rPr>
          <w:spacing w:val="14"/>
          <w:w w:val="105"/>
        </w:rPr>
        <w:t> </w:t>
      </w:r>
      <w:r>
        <w:rPr>
          <w:w w:val="105"/>
        </w:rPr>
        <w:t>their</w:t>
      </w:r>
      <w:r>
        <w:rPr>
          <w:spacing w:val="16"/>
          <w:w w:val="105"/>
        </w:rPr>
        <w:t> </w:t>
      </w:r>
      <w:r>
        <w:rPr>
          <w:w w:val="105"/>
        </w:rPr>
        <w:t>availability</w:t>
      </w:r>
      <w:r>
        <w:rPr>
          <w:spacing w:val="14"/>
          <w:w w:val="105"/>
        </w:rPr>
        <w:t> </w:t>
      </w:r>
      <w:r>
        <w:rPr>
          <w:w w:val="105"/>
        </w:rPr>
        <w:t>to</w:t>
      </w:r>
      <w:r>
        <w:rPr>
          <w:spacing w:val="17"/>
          <w:w w:val="105"/>
        </w:rPr>
        <w:t> </w:t>
      </w:r>
      <w:r>
        <w:rPr>
          <w:w w:val="105"/>
        </w:rPr>
        <w:t>re-mark</w:t>
      </w:r>
      <w:r>
        <w:rPr>
          <w:spacing w:val="20"/>
          <w:w w:val="105"/>
        </w:rPr>
        <w:t> </w:t>
      </w:r>
      <w:r>
        <w:rPr>
          <w:w w:val="105"/>
        </w:rPr>
        <w:t>portfolios</w:t>
      </w:r>
      <w:r>
        <w:rPr>
          <w:spacing w:val="16"/>
          <w:w w:val="105"/>
        </w:rPr>
        <w:t> </w:t>
      </w:r>
      <w:r>
        <w:rPr>
          <w:w w:val="105"/>
        </w:rPr>
        <w:t>in</w:t>
      </w:r>
      <w:r>
        <w:rPr>
          <w:spacing w:val="16"/>
          <w:w w:val="105"/>
        </w:rPr>
        <w:t> </w:t>
      </w:r>
      <w:r>
        <w:rPr>
          <w:w w:val="105"/>
        </w:rPr>
        <w:t>January,</w:t>
      </w:r>
      <w:r>
        <w:rPr>
          <w:spacing w:val="14"/>
          <w:w w:val="105"/>
        </w:rPr>
        <w:t> </w:t>
      </w:r>
      <w:r>
        <w:rPr>
          <w:w w:val="105"/>
        </w:rPr>
        <w:t>should</w:t>
      </w:r>
      <w:r>
        <w:rPr>
          <w:spacing w:val="15"/>
          <w:w w:val="105"/>
        </w:rPr>
        <w:t> </w:t>
      </w:r>
      <w:r>
        <w:rPr>
          <w:w w:val="105"/>
        </w:rPr>
        <w:t>this</w:t>
      </w:r>
      <w:r>
        <w:rPr>
          <w:spacing w:val="16"/>
          <w:w w:val="105"/>
        </w:rPr>
        <w:t> </w:t>
      </w:r>
      <w:r>
        <w:rPr>
          <w:w w:val="105"/>
        </w:rPr>
        <w:t>be</w:t>
      </w:r>
      <w:r>
        <w:rPr>
          <w:spacing w:val="15"/>
          <w:w w:val="105"/>
        </w:rPr>
        <w:t> </w:t>
      </w:r>
      <w:r>
        <w:rPr>
          <w:w w:val="105"/>
        </w:rPr>
        <w:t>required.</w:t>
      </w:r>
    </w:p>
    <w:p>
      <w:pPr>
        <w:pStyle w:val="BodyText"/>
        <w:spacing w:before="4"/>
        <w:rPr>
          <w:sz w:val="31"/>
        </w:rPr>
      </w:pPr>
    </w:p>
    <w:p>
      <w:pPr>
        <w:pStyle w:val="Heading3"/>
        <w:spacing w:before="1"/>
      </w:pPr>
      <w:bookmarkStart w:name="_TOC_250004" w:id="44"/>
      <w:bookmarkEnd w:id="44"/>
      <w:r>
        <w:rPr>
          <w:w w:val="115"/>
        </w:rPr>
        <w:t>Reallocating Portfolios</w:t>
      </w:r>
    </w:p>
    <w:p>
      <w:pPr>
        <w:pStyle w:val="BodyText"/>
        <w:spacing w:before="120"/>
        <w:ind w:left="392" w:right="910"/>
      </w:pPr>
      <w:r>
        <w:rPr>
          <w:w w:val="105"/>
        </w:rPr>
        <w:t>If, after providing assistance, you  are still  not  satisfied  that the marker  is  assessing  consistently and to the required standard, you must  contact  your NAF. Do  </w:t>
      </w:r>
      <w:r>
        <w:rPr>
          <w:spacing w:val="-2"/>
          <w:w w:val="105"/>
        </w:rPr>
        <w:t>not  </w:t>
      </w:r>
      <w:r>
        <w:rPr>
          <w:w w:val="105"/>
        </w:rPr>
        <w:t>reallocate  any portfolios until your NAF has discussed the situation with you. If necessary, the NAF will relieve the marker of further responsibilities. All their allocation of portfolios, including those already assessed, will need   to be reallocated to other markers. In the end, the interests of the candidates must be</w:t>
      </w:r>
      <w:r>
        <w:rPr>
          <w:spacing w:val="57"/>
          <w:w w:val="105"/>
        </w:rPr>
        <w:t> </w:t>
      </w:r>
      <w:r>
        <w:rPr>
          <w:w w:val="105"/>
        </w:rPr>
        <w:t>paramount.</w:t>
      </w:r>
    </w:p>
    <w:p>
      <w:pPr>
        <w:pStyle w:val="BodyText"/>
        <w:spacing w:before="9"/>
        <w:rPr>
          <w:sz w:val="20"/>
        </w:rPr>
      </w:pPr>
    </w:p>
    <w:p>
      <w:pPr>
        <w:pStyle w:val="BodyText"/>
        <w:spacing w:before="1"/>
        <w:ind w:left="392" w:right="769"/>
      </w:pPr>
      <w:r>
        <w:rPr>
          <w:w w:val="105"/>
        </w:rPr>
        <w:t>Portfolios may also have to be reallocated because a marker will be unable to finish on time due to illness or slow marking. Act immediately, by contacting your NAF, and </w:t>
      </w:r>
      <w:r>
        <w:rPr>
          <w:spacing w:val="-3"/>
          <w:w w:val="105"/>
        </w:rPr>
        <w:t>if </w:t>
      </w:r>
      <w:r>
        <w:rPr>
          <w:w w:val="105"/>
        </w:rPr>
        <w:t>reallocation is not an   option,</w:t>
      </w:r>
      <w:r>
        <w:rPr>
          <w:spacing w:val="7"/>
          <w:w w:val="105"/>
        </w:rPr>
        <w:t> </w:t>
      </w:r>
      <w:r>
        <w:rPr>
          <w:w w:val="105"/>
        </w:rPr>
        <w:t>then</w:t>
      </w:r>
      <w:r>
        <w:rPr>
          <w:spacing w:val="12"/>
          <w:w w:val="105"/>
        </w:rPr>
        <w:t> </w:t>
      </w:r>
      <w:r>
        <w:rPr>
          <w:w w:val="105"/>
        </w:rPr>
        <w:t>you</w:t>
      </w:r>
      <w:r>
        <w:rPr>
          <w:spacing w:val="8"/>
          <w:w w:val="105"/>
        </w:rPr>
        <w:t> </w:t>
      </w:r>
      <w:r>
        <w:rPr>
          <w:w w:val="105"/>
        </w:rPr>
        <w:t>or</w:t>
      </w:r>
      <w:r>
        <w:rPr>
          <w:spacing w:val="9"/>
          <w:w w:val="105"/>
        </w:rPr>
        <w:t> </w:t>
      </w:r>
      <w:r>
        <w:rPr>
          <w:w w:val="105"/>
        </w:rPr>
        <w:t>your</w:t>
      </w:r>
      <w:r>
        <w:rPr>
          <w:spacing w:val="7"/>
          <w:w w:val="105"/>
        </w:rPr>
        <w:t> </w:t>
      </w:r>
      <w:r>
        <w:rPr>
          <w:w w:val="105"/>
        </w:rPr>
        <w:t>check</w:t>
      </w:r>
      <w:r>
        <w:rPr>
          <w:spacing w:val="11"/>
          <w:w w:val="105"/>
        </w:rPr>
        <w:t> </w:t>
      </w:r>
      <w:r>
        <w:rPr>
          <w:w w:val="105"/>
        </w:rPr>
        <w:t>marker</w:t>
      </w:r>
      <w:r>
        <w:rPr>
          <w:spacing w:val="8"/>
          <w:w w:val="105"/>
        </w:rPr>
        <w:t> </w:t>
      </w:r>
      <w:r>
        <w:rPr>
          <w:w w:val="105"/>
        </w:rPr>
        <w:t>will</w:t>
      </w:r>
      <w:r>
        <w:rPr>
          <w:spacing w:val="4"/>
          <w:w w:val="105"/>
        </w:rPr>
        <w:t> </w:t>
      </w:r>
      <w:r>
        <w:rPr>
          <w:w w:val="105"/>
        </w:rPr>
        <w:t>have</w:t>
      </w:r>
      <w:r>
        <w:rPr>
          <w:spacing w:val="8"/>
          <w:w w:val="105"/>
        </w:rPr>
        <w:t> </w:t>
      </w:r>
      <w:r>
        <w:rPr>
          <w:w w:val="105"/>
        </w:rPr>
        <w:t>to</w:t>
      </w:r>
      <w:r>
        <w:rPr>
          <w:spacing w:val="7"/>
          <w:w w:val="105"/>
        </w:rPr>
        <w:t> </w:t>
      </w:r>
      <w:r>
        <w:rPr>
          <w:w w:val="105"/>
        </w:rPr>
        <w:t>assess</w:t>
      </w:r>
      <w:r>
        <w:rPr>
          <w:spacing w:val="6"/>
          <w:w w:val="105"/>
        </w:rPr>
        <w:t> </w:t>
      </w:r>
      <w:r>
        <w:rPr>
          <w:w w:val="105"/>
        </w:rPr>
        <w:t>extra</w:t>
      </w:r>
      <w:r>
        <w:rPr>
          <w:spacing w:val="9"/>
          <w:w w:val="105"/>
        </w:rPr>
        <w:t> </w:t>
      </w:r>
      <w:r>
        <w:rPr>
          <w:w w:val="105"/>
        </w:rPr>
        <w:t>portfolios.</w:t>
      </w:r>
    </w:p>
    <w:p>
      <w:pPr>
        <w:pStyle w:val="BodyText"/>
        <w:spacing w:before="9"/>
        <w:rPr>
          <w:sz w:val="20"/>
        </w:rPr>
      </w:pPr>
    </w:p>
    <w:p>
      <w:pPr>
        <w:pStyle w:val="BodyText"/>
        <w:ind w:left="392" w:right="769"/>
      </w:pPr>
      <w:r>
        <w:rPr>
          <w:w w:val="105"/>
        </w:rPr>
        <w:t>If reallocation is required, contact your Senior Business Liaison Officer (copy the NAF) immediately and provide them with the following information:</w:t>
      </w:r>
    </w:p>
    <w:p>
      <w:pPr>
        <w:pStyle w:val="ListParagraph"/>
        <w:numPr>
          <w:ilvl w:val="0"/>
          <w:numId w:val="2"/>
        </w:numPr>
        <w:tabs>
          <w:tab w:pos="749" w:val="left" w:leader="none"/>
          <w:tab w:pos="750" w:val="left" w:leader="none"/>
        </w:tabs>
        <w:spacing w:line="240" w:lineRule="auto" w:before="137" w:after="0"/>
        <w:ind w:left="749" w:right="0" w:hanging="357"/>
        <w:jc w:val="left"/>
        <w:rPr>
          <w:sz w:val="22"/>
        </w:rPr>
      </w:pPr>
      <w:r>
        <w:rPr>
          <w:w w:val="115"/>
          <w:sz w:val="22"/>
        </w:rPr>
        <w:t>The level and standard being assessed, e.g. L2</w:t>
      </w:r>
      <w:r>
        <w:rPr>
          <w:spacing w:val="-28"/>
          <w:w w:val="115"/>
          <w:sz w:val="22"/>
        </w:rPr>
        <w:t> </w:t>
      </w:r>
      <w:r>
        <w:rPr>
          <w:w w:val="115"/>
          <w:sz w:val="22"/>
        </w:rPr>
        <w:t>91337</w:t>
      </w:r>
    </w:p>
    <w:p>
      <w:pPr>
        <w:pStyle w:val="ListParagraph"/>
        <w:numPr>
          <w:ilvl w:val="0"/>
          <w:numId w:val="2"/>
        </w:numPr>
        <w:tabs>
          <w:tab w:pos="749" w:val="left" w:leader="none"/>
          <w:tab w:pos="750" w:val="left" w:leader="none"/>
        </w:tabs>
        <w:spacing w:line="240" w:lineRule="auto" w:before="136" w:after="0"/>
        <w:ind w:left="749" w:right="0" w:hanging="357"/>
        <w:jc w:val="left"/>
        <w:rPr>
          <w:sz w:val="22"/>
        </w:rPr>
      </w:pPr>
      <w:r>
        <w:rPr>
          <w:w w:val="110"/>
          <w:sz w:val="22"/>
        </w:rPr>
        <w:t>The marker code and name of the marker whose portfolios are being</w:t>
      </w:r>
      <w:r>
        <w:rPr>
          <w:spacing w:val="14"/>
          <w:w w:val="110"/>
          <w:sz w:val="22"/>
        </w:rPr>
        <w:t> </w:t>
      </w:r>
      <w:r>
        <w:rPr>
          <w:w w:val="110"/>
          <w:sz w:val="22"/>
        </w:rPr>
        <w:t>reallocated.</w:t>
      </w:r>
    </w:p>
    <w:p>
      <w:pPr>
        <w:pStyle w:val="ListParagraph"/>
        <w:numPr>
          <w:ilvl w:val="0"/>
          <w:numId w:val="2"/>
        </w:numPr>
        <w:tabs>
          <w:tab w:pos="749" w:val="left" w:leader="none"/>
          <w:tab w:pos="750" w:val="left" w:leader="none"/>
        </w:tabs>
        <w:spacing w:line="240" w:lineRule="auto" w:before="134" w:after="0"/>
        <w:ind w:left="749" w:right="0" w:hanging="357"/>
        <w:jc w:val="left"/>
        <w:rPr>
          <w:sz w:val="22"/>
        </w:rPr>
      </w:pPr>
      <w:r>
        <w:rPr>
          <w:w w:val="110"/>
          <w:sz w:val="22"/>
        </w:rPr>
        <w:t>The marker code and name of the marker(s) who is/are receiving the reallocated portfolios.</w:t>
      </w:r>
    </w:p>
    <w:p>
      <w:pPr>
        <w:pStyle w:val="ListParagraph"/>
        <w:numPr>
          <w:ilvl w:val="0"/>
          <w:numId w:val="2"/>
        </w:numPr>
        <w:tabs>
          <w:tab w:pos="749" w:val="left" w:leader="none"/>
          <w:tab w:pos="750" w:val="left" w:leader="none"/>
        </w:tabs>
        <w:spacing w:line="240" w:lineRule="auto" w:before="133" w:after="0"/>
        <w:ind w:left="750" w:right="1138" w:hanging="358"/>
        <w:jc w:val="left"/>
        <w:rPr>
          <w:sz w:val="22"/>
        </w:rPr>
      </w:pPr>
      <w:r>
        <w:rPr>
          <w:w w:val="110"/>
          <w:sz w:val="22"/>
        </w:rPr>
        <w:t>The</w:t>
      </w:r>
      <w:r>
        <w:rPr>
          <w:spacing w:val="-6"/>
          <w:w w:val="110"/>
          <w:sz w:val="22"/>
        </w:rPr>
        <w:t> </w:t>
      </w:r>
      <w:r>
        <w:rPr>
          <w:w w:val="110"/>
          <w:sz w:val="22"/>
        </w:rPr>
        <w:t>page</w:t>
      </w:r>
      <w:r>
        <w:rPr>
          <w:spacing w:val="-3"/>
          <w:w w:val="110"/>
          <w:sz w:val="22"/>
        </w:rPr>
        <w:t> </w:t>
      </w:r>
      <w:r>
        <w:rPr>
          <w:w w:val="110"/>
          <w:sz w:val="22"/>
        </w:rPr>
        <w:t>number(s)</w:t>
      </w:r>
      <w:r>
        <w:rPr>
          <w:spacing w:val="-4"/>
          <w:w w:val="110"/>
          <w:sz w:val="22"/>
        </w:rPr>
        <w:t> </w:t>
      </w:r>
      <w:r>
        <w:rPr>
          <w:w w:val="110"/>
          <w:sz w:val="22"/>
        </w:rPr>
        <w:t>of</w:t>
      </w:r>
      <w:r>
        <w:rPr>
          <w:spacing w:val="-4"/>
          <w:w w:val="110"/>
          <w:sz w:val="22"/>
        </w:rPr>
        <w:t> </w:t>
      </w:r>
      <w:r>
        <w:rPr>
          <w:w w:val="110"/>
          <w:sz w:val="22"/>
        </w:rPr>
        <w:t>the</w:t>
      </w:r>
      <w:r>
        <w:rPr>
          <w:spacing w:val="-3"/>
          <w:w w:val="110"/>
          <w:sz w:val="22"/>
        </w:rPr>
        <w:t> </w:t>
      </w:r>
      <w:r>
        <w:rPr>
          <w:w w:val="110"/>
          <w:sz w:val="22"/>
        </w:rPr>
        <w:t>Marking</w:t>
      </w:r>
      <w:r>
        <w:rPr>
          <w:spacing w:val="-4"/>
          <w:w w:val="110"/>
          <w:sz w:val="22"/>
        </w:rPr>
        <w:t> </w:t>
      </w:r>
      <w:r>
        <w:rPr>
          <w:w w:val="110"/>
          <w:sz w:val="22"/>
        </w:rPr>
        <w:t>Pages</w:t>
      </w:r>
      <w:r>
        <w:rPr>
          <w:spacing w:val="-6"/>
          <w:w w:val="110"/>
          <w:sz w:val="22"/>
        </w:rPr>
        <w:t> </w:t>
      </w:r>
      <w:r>
        <w:rPr>
          <w:w w:val="110"/>
          <w:sz w:val="22"/>
        </w:rPr>
        <w:t>which</w:t>
      </w:r>
      <w:r>
        <w:rPr>
          <w:spacing w:val="-2"/>
          <w:w w:val="110"/>
          <w:sz w:val="22"/>
        </w:rPr>
        <w:t> </w:t>
      </w:r>
      <w:r>
        <w:rPr>
          <w:w w:val="110"/>
          <w:sz w:val="22"/>
        </w:rPr>
        <w:t>correspond</w:t>
      </w:r>
      <w:r>
        <w:rPr>
          <w:spacing w:val="-1"/>
          <w:w w:val="110"/>
          <w:sz w:val="22"/>
        </w:rPr>
        <w:t> </w:t>
      </w:r>
      <w:r>
        <w:rPr>
          <w:w w:val="110"/>
          <w:sz w:val="22"/>
        </w:rPr>
        <w:t>with</w:t>
      </w:r>
      <w:r>
        <w:rPr>
          <w:spacing w:val="-4"/>
          <w:w w:val="110"/>
          <w:sz w:val="22"/>
        </w:rPr>
        <w:t> </w:t>
      </w:r>
      <w:r>
        <w:rPr>
          <w:w w:val="110"/>
          <w:sz w:val="22"/>
        </w:rPr>
        <w:t>the</w:t>
      </w:r>
      <w:r>
        <w:rPr>
          <w:spacing w:val="-5"/>
          <w:w w:val="110"/>
          <w:sz w:val="22"/>
        </w:rPr>
        <w:t> </w:t>
      </w:r>
      <w:r>
        <w:rPr>
          <w:w w:val="110"/>
          <w:sz w:val="22"/>
        </w:rPr>
        <w:t>portfolios</w:t>
      </w:r>
      <w:r>
        <w:rPr>
          <w:spacing w:val="-4"/>
          <w:w w:val="110"/>
          <w:sz w:val="22"/>
        </w:rPr>
        <w:t> </w:t>
      </w:r>
      <w:r>
        <w:rPr>
          <w:w w:val="110"/>
          <w:sz w:val="22"/>
        </w:rPr>
        <w:t>which</w:t>
      </w:r>
      <w:r>
        <w:rPr>
          <w:spacing w:val="-6"/>
          <w:w w:val="110"/>
          <w:sz w:val="22"/>
        </w:rPr>
        <w:t> </w:t>
      </w:r>
      <w:r>
        <w:rPr>
          <w:w w:val="110"/>
          <w:sz w:val="22"/>
        </w:rPr>
        <w:t>are being</w:t>
      </w:r>
      <w:r>
        <w:rPr>
          <w:spacing w:val="1"/>
          <w:w w:val="110"/>
          <w:sz w:val="22"/>
        </w:rPr>
        <w:t> </w:t>
      </w:r>
      <w:r>
        <w:rPr>
          <w:w w:val="110"/>
          <w:sz w:val="22"/>
        </w:rPr>
        <w:t>reallocated.</w:t>
      </w:r>
    </w:p>
    <w:p>
      <w:pPr>
        <w:pStyle w:val="ListParagraph"/>
        <w:numPr>
          <w:ilvl w:val="0"/>
          <w:numId w:val="2"/>
        </w:numPr>
        <w:tabs>
          <w:tab w:pos="749" w:val="left" w:leader="none"/>
          <w:tab w:pos="750" w:val="left" w:leader="none"/>
        </w:tabs>
        <w:spacing w:line="240" w:lineRule="auto" w:before="135" w:after="0"/>
        <w:ind w:left="750" w:right="648" w:hanging="358"/>
        <w:jc w:val="left"/>
        <w:rPr>
          <w:sz w:val="22"/>
        </w:rPr>
      </w:pPr>
      <w:r>
        <w:rPr>
          <w:w w:val="110"/>
          <w:sz w:val="22"/>
        </w:rPr>
        <w:t>If more than one marker is receiving reallocated portfolios please ensure you provide details</w:t>
      </w:r>
      <w:r>
        <w:rPr>
          <w:spacing w:val="-33"/>
          <w:w w:val="110"/>
          <w:sz w:val="22"/>
        </w:rPr>
        <w:t> </w:t>
      </w:r>
      <w:r>
        <w:rPr>
          <w:w w:val="110"/>
          <w:sz w:val="22"/>
        </w:rPr>
        <w:t>of which page numbers are being reallocated to each</w:t>
      </w:r>
      <w:r>
        <w:rPr>
          <w:spacing w:val="7"/>
          <w:w w:val="110"/>
          <w:sz w:val="22"/>
        </w:rPr>
        <w:t> </w:t>
      </w:r>
      <w:r>
        <w:rPr>
          <w:w w:val="110"/>
          <w:sz w:val="22"/>
        </w:rPr>
        <w:t>marker.</w:t>
      </w:r>
    </w:p>
    <w:p>
      <w:pPr>
        <w:pStyle w:val="ListParagraph"/>
        <w:numPr>
          <w:ilvl w:val="0"/>
          <w:numId w:val="2"/>
        </w:numPr>
        <w:tabs>
          <w:tab w:pos="749" w:val="left" w:leader="none"/>
          <w:tab w:pos="750" w:val="left" w:leader="none"/>
        </w:tabs>
        <w:spacing w:line="240" w:lineRule="auto" w:before="137" w:after="0"/>
        <w:ind w:left="749" w:right="0" w:hanging="357"/>
        <w:jc w:val="left"/>
        <w:rPr>
          <w:sz w:val="22"/>
        </w:rPr>
      </w:pPr>
      <w:r>
        <w:rPr>
          <w:w w:val="105"/>
          <w:sz w:val="22"/>
        </w:rPr>
        <w:t>The reason for the reallocation of</w:t>
      </w:r>
      <w:r>
        <w:rPr>
          <w:spacing w:val="17"/>
          <w:w w:val="105"/>
          <w:sz w:val="22"/>
        </w:rPr>
        <w:t> </w:t>
      </w:r>
      <w:r>
        <w:rPr>
          <w:w w:val="105"/>
          <w:sz w:val="22"/>
        </w:rPr>
        <w:t>portfolios.</w:t>
      </w:r>
    </w:p>
    <w:p>
      <w:pPr>
        <w:pStyle w:val="BodyText"/>
        <w:spacing w:before="6"/>
        <w:rPr>
          <w:sz w:val="20"/>
        </w:rPr>
      </w:pPr>
    </w:p>
    <w:p>
      <w:pPr>
        <w:pStyle w:val="BodyText"/>
        <w:spacing w:before="1"/>
        <w:ind w:left="392" w:right="769"/>
      </w:pPr>
      <w:r>
        <w:rPr>
          <w:w w:val="110"/>
        </w:rPr>
        <w:t>If a marker is being relieved of marking duties due to inconsistent assessment, all their portfolios need to be reallocated. This includes those already marked which must be remarked.</w:t>
      </w:r>
    </w:p>
    <w:p>
      <w:pPr>
        <w:pStyle w:val="BodyText"/>
        <w:spacing w:before="10"/>
        <w:rPr>
          <w:sz w:val="20"/>
        </w:rPr>
      </w:pPr>
    </w:p>
    <w:p>
      <w:pPr>
        <w:pStyle w:val="BodyText"/>
        <w:ind w:left="392" w:right="769"/>
      </w:pPr>
      <w:r>
        <w:rPr>
          <w:w w:val="110"/>
        </w:rPr>
        <w:t>The</w:t>
      </w:r>
      <w:r>
        <w:rPr>
          <w:spacing w:val="-15"/>
          <w:w w:val="110"/>
        </w:rPr>
        <w:t> </w:t>
      </w:r>
      <w:r>
        <w:rPr>
          <w:w w:val="110"/>
        </w:rPr>
        <w:t>marker</w:t>
      </w:r>
      <w:r>
        <w:rPr>
          <w:spacing w:val="-13"/>
          <w:w w:val="110"/>
        </w:rPr>
        <w:t> </w:t>
      </w:r>
      <w:r>
        <w:rPr>
          <w:w w:val="110"/>
        </w:rPr>
        <w:t>who</w:t>
      </w:r>
      <w:r>
        <w:rPr>
          <w:spacing w:val="-13"/>
          <w:w w:val="110"/>
        </w:rPr>
        <w:t> </w:t>
      </w:r>
      <w:r>
        <w:rPr>
          <w:w w:val="110"/>
        </w:rPr>
        <w:t>is</w:t>
      </w:r>
      <w:r>
        <w:rPr>
          <w:spacing w:val="-11"/>
          <w:w w:val="110"/>
        </w:rPr>
        <w:t> </w:t>
      </w:r>
      <w:r>
        <w:rPr>
          <w:w w:val="110"/>
        </w:rPr>
        <w:t>receiving</w:t>
      </w:r>
      <w:r>
        <w:rPr>
          <w:spacing w:val="-11"/>
          <w:w w:val="110"/>
        </w:rPr>
        <w:t> </w:t>
      </w:r>
      <w:r>
        <w:rPr>
          <w:w w:val="110"/>
        </w:rPr>
        <w:t>the</w:t>
      </w:r>
      <w:r>
        <w:rPr>
          <w:spacing w:val="-15"/>
          <w:w w:val="110"/>
        </w:rPr>
        <w:t> </w:t>
      </w:r>
      <w:r>
        <w:rPr>
          <w:w w:val="110"/>
        </w:rPr>
        <w:t>reallocated</w:t>
      </w:r>
      <w:r>
        <w:rPr>
          <w:spacing w:val="-14"/>
          <w:w w:val="110"/>
        </w:rPr>
        <w:t> </w:t>
      </w:r>
      <w:r>
        <w:rPr>
          <w:w w:val="110"/>
        </w:rPr>
        <w:t>portfolios</w:t>
      </w:r>
      <w:r>
        <w:rPr>
          <w:spacing w:val="-13"/>
          <w:w w:val="110"/>
        </w:rPr>
        <w:t> </w:t>
      </w:r>
      <w:r>
        <w:rPr>
          <w:w w:val="110"/>
        </w:rPr>
        <w:t>will</w:t>
      </w:r>
      <w:r>
        <w:rPr>
          <w:spacing w:val="-14"/>
          <w:w w:val="110"/>
        </w:rPr>
        <w:t> </w:t>
      </w:r>
      <w:r>
        <w:rPr>
          <w:w w:val="110"/>
        </w:rPr>
        <w:t>be</w:t>
      </w:r>
      <w:r>
        <w:rPr>
          <w:spacing w:val="-13"/>
          <w:w w:val="110"/>
        </w:rPr>
        <w:t> </w:t>
      </w:r>
      <w:r>
        <w:rPr>
          <w:w w:val="110"/>
        </w:rPr>
        <w:t>informed,</w:t>
      </w:r>
      <w:r>
        <w:rPr>
          <w:spacing w:val="-13"/>
          <w:w w:val="110"/>
        </w:rPr>
        <w:t> </w:t>
      </w:r>
      <w:r>
        <w:rPr>
          <w:w w:val="110"/>
        </w:rPr>
        <w:t>via</w:t>
      </w:r>
      <w:r>
        <w:rPr>
          <w:spacing w:val="-14"/>
          <w:w w:val="110"/>
        </w:rPr>
        <w:t> </w:t>
      </w:r>
      <w:r>
        <w:rPr>
          <w:w w:val="110"/>
        </w:rPr>
        <w:t>their</w:t>
      </w:r>
      <w:r>
        <w:rPr>
          <w:spacing w:val="-13"/>
          <w:w w:val="110"/>
        </w:rPr>
        <w:t> </w:t>
      </w:r>
      <w:r>
        <w:rPr>
          <w:w w:val="110"/>
        </w:rPr>
        <w:t>‘Home</w:t>
      </w:r>
      <w:r>
        <w:rPr>
          <w:spacing w:val="-13"/>
          <w:w w:val="110"/>
        </w:rPr>
        <w:t> </w:t>
      </w:r>
      <w:r>
        <w:rPr>
          <w:w w:val="110"/>
        </w:rPr>
        <w:t>Page’</w:t>
      </w:r>
      <w:r>
        <w:rPr>
          <w:spacing w:val="-13"/>
          <w:w w:val="110"/>
        </w:rPr>
        <w:t> </w:t>
      </w:r>
      <w:r>
        <w:rPr>
          <w:w w:val="110"/>
        </w:rPr>
        <w:t>on the web that portfolios have been reallocated to them. They will then have access to web pages which correspond to the reallocated portfolios they have received, and will be able to continue entering their results via the web.</w:t>
      </w:r>
    </w:p>
    <w:p>
      <w:pPr>
        <w:spacing w:after="0"/>
        <w:sectPr>
          <w:pgSz w:w="11910" w:h="16840"/>
          <w:pgMar w:header="0" w:footer="297" w:top="760" w:bottom="480" w:left="740" w:right="580"/>
        </w:sectPr>
      </w:pPr>
    </w:p>
    <w:p>
      <w:pPr>
        <w:pStyle w:val="BodyText"/>
        <w:spacing w:before="74"/>
        <w:ind w:left="392" w:right="769"/>
      </w:pPr>
      <w:r>
        <w:rPr>
          <w:w w:val="105"/>
        </w:rPr>
        <w:t>The marker who is having  their portfolios reallocated to another marker will also be informed via  their ‘Home Page’ on the web  when the reallocation has taken place.  As panel leader, you should  also be notified once reallocations have been</w:t>
      </w:r>
      <w:r>
        <w:rPr>
          <w:spacing w:val="47"/>
          <w:w w:val="105"/>
        </w:rPr>
        <w:t> </w:t>
      </w:r>
      <w:r>
        <w:rPr>
          <w:w w:val="105"/>
        </w:rPr>
        <w:t>made.</w:t>
      </w:r>
    </w:p>
    <w:p>
      <w:pPr>
        <w:pStyle w:val="BodyText"/>
        <w:spacing w:before="10"/>
        <w:rPr>
          <w:sz w:val="21"/>
        </w:rPr>
      </w:pPr>
    </w:p>
    <w:p>
      <w:pPr>
        <w:pStyle w:val="BodyText"/>
        <w:ind w:left="392" w:right="769"/>
      </w:pPr>
      <w:r>
        <w:rPr>
          <w:w w:val="105"/>
        </w:rPr>
        <w:t>Appendix J gives instructions for reallocating portfolios. Only use this option if there are a small number of portfolios to reallocate (e.g. you receive 3 portfolios for another marker, within your own allocation), but NOT if many portfolios need to be reallocated (e.g. portfolios of a relieved marker). Follow the instructions above for this scenario.</w:t>
      </w:r>
    </w:p>
    <w:p>
      <w:pPr>
        <w:pStyle w:val="BodyText"/>
        <w:spacing w:before="6"/>
        <w:rPr>
          <w:sz w:val="31"/>
        </w:rPr>
      </w:pPr>
    </w:p>
    <w:p>
      <w:pPr>
        <w:pStyle w:val="Heading3"/>
      </w:pPr>
      <w:bookmarkStart w:name="_TOC_250003" w:id="45"/>
      <w:bookmarkEnd w:id="45"/>
      <w:r>
        <w:rPr>
          <w:w w:val="120"/>
        </w:rPr>
        <w:t>Panel leader report</w:t>
      </w:r>
    </w:p>
    <w:p>
      <w:pPr>
        <w:pStyle w:val="BodyText"/>
        <w:spacing w:before="117"/>
        <w:ind w:left="392"/>
      </w:pPr>
      <w:r>
        <w:rPr>
          <w:w w:val="110"/>
        </w:rPr>
        <w:t>A panel leader report template can be found on the ‘Forms for Panel Leaders’ section.</w:t>
      </w:r>
    </w:p>
    <w:p>
      <w:pPr>
        <w:pStyle w:val="BodyText"/>
        <w:rPr>
          <w:sz w:val="21"/>
        </w:rPr>
      </w:pPr>
    </w:p>
    <w:p>
      <w:pPr>
        <w:pStyle w:val="BodyText"/>
        <w:ind w:left="392" w:right="1078"/>
      </w:pPr>
      <w:r>
        <w:rPr>
          <w:w w:val="110"/>
        </w:rPr>
        <w:t>Panel leaders should ensure all markers have completed and sent to them a Marker Report by 20 December. This should be done electronically.</w:t>
      </w:r>
    </w:p>
    <w:p>
      <w:pPr>
        <w:pStyle w:val="BodyText"/>
        <w:spacing w:before="11"/>
        <w:rPr>
          <w:sz w:val="20"/>
        </w:rPr>
      </w:pPr>
    </w:p>
    <w:p>
      <w:pPr>
        <w:pStyle w:val="BodyText"/>
        <w:ind w:left="392" w:right="624"/>
        <w:jc w:val="both"/>
      </w:pPr>
      <w:r>
        <w:rPr>
          <w:w w:val="105"/>
        </w:rPr>
        <w:t>You may prefer to collate the Marker Reports as soon as they are received and while details of the marking are still fresh, write your panel leader report. If you wish to dispatch your reports to NZQA before Christmas, advise your markers accordingly.</w:t>
      </w:r>
    </w:p>
    <w:p>
      <w:pPr>
        <w:pStyle w:val="BodyText"/>
        <w:spacing w:before="9"/>
        <w:rPr>
          <w:sz w:val="20"/>
        </w:rPr>
      </w:pPr>
    </w:p>
    <w:p>
      <w:pPr>
        <w:pStyle w:val="BodyText"/>
        <w:ind w:left="392" w:right="662"/>
      </w:pPr>
      <w:r>
        <w:rPr>
          <w:w w:val="110"/>
        </w:rPr>
        <w:t>For each of Parts A and B, collate marker opinions from the Marker Reports and complete the panel leader Report template as a report for the standard. Part A will be retained by NZQA. Part B will be used to produce a published version on the web in April 2020.</w:t>
      </w:r>
    </w:p>
    <w:p>
      <w:pPr>
        <w:pStyle w:val="BodyText"/>
        <w:spacing w:before="10"/>
        <w:rPr>
          <w:sz w:val="20"/>
        </w:rPr>
      </w:pPr>
    </w:p>
    <w:p>
      <w:pPr>
        <w:pStyle w:val="BodyText"/>
        <w:ind w:left="392" w:right="769"/>
      </w:pPr>
      <w:r>
        <w:rPr>
          <w:w w:val="105"/>
        </w:rPr>
        <w:t>For help with completing Part B of the template refer to the booklet ‘Writing Reports’ which will be online on the forms for markers page. Please follow these notes carefully.</w:t>
      </w:r>
    </w:p>
    <w:p>
      <w:pPr>
        <w:pStyle w:val="BodyText"/>
        <w:spacing w:before="10"/>
        <w:rPr>
          <w:sz w:val="20"/>
        </w:rPr>
      </w:pPr>
    </w:p>
    <w:p>
      <w:pPr>
        <w:pStyle w:val="BodyText"/>
        <w:ind w:left="392" w:right="2362"/>
      </w:pPr>
      <w:r>
        <w:rPr>
          <w:w w:val="110"/>
        </w:rPr>
        <w:t>Panel leader reports should be completed electronically and emailed to NZQA at </w:t>
      </w:r>
      <w:hyperlink r:id="rId7">
        <w:r>
          <w:rPr>
            <w:w w:val="110"/>
          </w:rPr>
          <w:t>examinations@nzqa.govt.nz, </w:t>
        </w:r>
      </w:hyperlink>
      <w:r>
        <w:rPr>
          <w:w w:val="110"/>
        </w:rPr>
        <w:t>by Friday 10 January 2020.</w:t>
      </w:r>
    </w:p>
    <w:p>
      <w:pPr>
        <w:pStyle w:val="BodyText"/>
        <w:spacing w:before="10"/>
        <w:rPr>
          <w:sz w:val="20"/>
        </w:rPr>
      </w:pPr>
    </w:p>
    <w:p>
      <w:pPr>
        <w:pStyle w:val="BodyText"/>
        <w:spacing w:before="1"/>
        <w:ind w:left="392" w:right="769"/>
      </w:pPr>
      <w:r>
        <w:rPr>
          <w:w w:val="110"/>
        </w:rPr>
        <w:t>Please attach each marker’s completed Appendix C sheets to their Marker Report form. Send the Marker Report forms to the Senior Business Liaison Officer by Friday 10 January 2020.</w:t>
      </w:r>
    </w:p>
    <w:p>
      <w:pPr>
        <w:pStyle w:val="BodyText"/>
        <w:spacing w:before="4"/>
        <w:rPr>
          <w:sz w:val="31"/>
        </w:rPr>
      </w:pPr>
    </w:p>
    <w:p>
      <w:pPr>
        <w:pStyle w:val="Heading3"/>
        <w:spacing w:before="1"/>
      </w:pPr>
      <w:bookmarkStart w:name="_TOC_250002" w:id="46"/>
      <w:bookmarkEnd w:id="46"/>
      <w:r>
        <w:rPr>
          <w:w w:val="120"/>
        </w:rPr>
        <w:t>Reviews and Reconsiderations</w:t>
      </w:r>
    </w:p>
    <w:p>
      <w:pPr>
        <w:pStyle w:val="BodyText"/>
        <w:spacing w:before="117"/>
        <w:ind w:left="392"/>
      </w:pPr>
      <w:r>
        <w:rPr>
          <w:w w:val="110"/>
        </w:rPr>
        <w:t>Candidates may send their portfolios to NZQA to have:</w:t>
      </w:r>
    </w:p>
    <w:p>
      <w:pPr>
        <w:pStyle w:val="ListParagraph"/>
        <w:numPr>
          <w:ilvl w:val="0"/>
          <w:numId w:val="9"/>
        </w:numPr>
        <w:tabs>
          <w:tab w:pos="1111" w:val="left" w:leader="none"/>
          <w:tab w:pos="1112" w:val="left" w:leader="none"/>
        </w:tabs>
        <w:spacing w:line="240" w:lineRule="auto" w:before="138" w:after="0"/>
        <w:ind w:left="1111" w:right="0" w:hanging="359"/>
        <w:jc w:val="left"/>
        <w:rPr>
          <w:sz w:val="22"/>
        </w:rPr>
      </w:pPr>
      <w:r>
        <w:rPr>
          <w:w w:val="110"/>
          <w:sz w:val="22"/>
        </w:rPr>
        <w:t>the accuracy of result transfers checked (review),</w:t>
      </w:r>
      <w:r>
        <w:rPr>
          <w:spacing w:val="2"/>
          <w:w w:val="110"/>
          <w:sz w:val="22"/>
        </w:rPr>
        <w:t> </w:t>
      </w:r>
      <w:r>
        <w:rPr>
          <w:w w:val="110"/>
          <w:sz w:val="22"/>
        </w:rPr>
        <w:t>or</w:t>
      </w:r>
    </w:p>
    <w:p>
      <w:pPr>
        <w:pStyle w:val="ListParagraph"/>
        <w:numPr>
          <w:ilvl w:val="0"/>
          <w:numId w:val="9"/>
        </w:numPr>
        <w:tabs>
          <w:tab w:pos="1111" w:val="left" w:leader="none"/>
          <w:tab w:pos="1112" w:val="left" w:leader="none"/>
        </w:tabs>
        <w:spacing w:line="240" w:lineRule="auto" w:before="134" w:after="0"/>
        <w:ind w:left="1111" w:right="0" w:hanging="359"/>
        <w:jc w:val="left"/>
        <w:rPr>
          <w:sz w:val="22"/>
        </w:rPr>
      </w:pPr>
      <w:r>
        <w:rPr>
          <w:w w:val="115"/>
          <w:sz w:val="22"/>
        </w:rPr>
        <w:t>a complete reassessment</w:t>
      </w:r>
      <w:r>
        <w:rPr>
          <w:spacing w:val="-11"/>
          <w:w w:val="115"/>
          <w:sz w:val="22"/>
        </w:rPr>
        <w:t> </w:t>
      </w:r>
      <w:r>
        <w:rPr>
          <w:w w:val="115"/>
          <w:sz w:val="22"/>
        </w:rPr>
        <w:t>(reconsideration).</w:t>
      </w:r>
    </w:p>
    <w:p>
      <w:pPr>
        <w:pStyle w:val="BodyText"/>
        <w:spacing w:before="9"/>
        <w:rPr>
          <w:sz w:val="20"/>
        </w:rPr>
      </w:pPr>
    </w:p>
    <w:p>
      <w:pPr>
        <w:pStyle w:val="BodyText"/>
        <w:ind w:left="392" w:right="696"/>
      </w:pPr>
      <w:r>
        <w:rPr>
          <w:w w:val="110"/>
        </w:rPr>
        <w:t>In cases where obvious transfer errors have occurred, NZQA staff will make the changes (review) in February. Panel leaders may be contacted to help resolve some reviews where necessary.</w:t>
      </w:r>
    </w:p>
    <w:p>
      <w:pPr>
        <w:pStyle w:val="BodyText"/>
        <w:spacing w:before="8"/>
        <w:rPr>
          <w:sz w:val="20"/>
        </w:rPr>
      </w:pPr>
    </w:p>
    <w:p>
      <w:pPr>
        <w:pStyle w:val="BodyText"/>
        <w:ind w:left="392" w:right="602"/>
      </w:pPr>
      <w:r>
        <w:rPr>
          <w:w w:val="110"/>
        </w:rPr>
        <w:t>Candidates</w:t>
      </w:r>
      <w:r>
        <w:rPr>
          <w:spacing w:val="-10"/>
          <w:w w:val="110"/>
        </w:rPr>
        <w:t> </w:t>
      </w:r>
      <w:r>
        <w:rPr>
          <w:w w:val="110"/>
        </w:rPr>
        <w:t>who</w:t>
      </w:r>
      <w:r>
        <w:rPr>
          <w:spacing w:val="-11"/>
          <w:w w:val="110"/>
        </w:rPr>
        <w:t> </w:t>
      </w:r>
      <w:r>
        <w:rPr>
          <w:w w:val="110"/>
        </w:rPr>
        <w:t>have</w:t>
      </w:r>
      <w:r>
        <w:rPr>
          <w:spacing w:val="-11"/>
          <w:w w:val="110"/>
        </w:rPr>
        <w:t> </w:t>
      </w:r>
      <w:r>
        <w:rPr>
          <w:w w:val="110"/>
        </w:rPr>
        <w:t>paid</w:t>
      </w:r>
      <w:r>
        <w:rPr>
          <w:spacing w:val="-13"/>
          <w:w w:val="110"/>
        </w:rPr>
        <w:t> </w:t>
      </w:r>
      <w:r>
        <w:rPr>
          <w:w w:val="110"/>
        </w:rPr>
        <w:t>for</w:t>
      </w:r>
      <w:r>
        <w:rPr>
          <w:spacing w:val="-11"/>
          <w:w w:val="110"/>
        </w:rPr>
        <w:t> </w:t>
      </w:r>
      <w:r>
        <w:rPr>
          <w:w w:val="110"/>
        </w:rPr>
        <w:t>reconsideration</w:t>
      </w:r>
      <w:r>
        <w:rPr>
          <w:spacing w:val="-11"/>
          <w:w w:val="110"/>
        </w:rPr>
        <w:t> </w:t>
      </w:r>
      <w:r>
        <w:rPr>
          <w:w w:val="110"/>
        </w:rPr>
        <w:t>will</w:t>
      </w:r>
      <w:r>
        <w:rPr>
          <w:spacing w:val="-12"/>
          <w:w w:val="110"/>
        </w:rPr>
        <w:t> </w:t>
      </w:r>
      <w:r>
        <w:rPr>
          <w:w w:val="110"/>
        </w:rPr>
        <w:t>send</w:t>
      </w:r>
      <w:r>
        <w:rPr>
          <w:spacing w:val="-14"/>
          <w:w w:val="110"/>
        </w:rPr>
        <w:t> </w:t>
      </w:r>
      <w:r>
        <w:rPr>
          <w:w w:val="110"/>
        </w:rPr>
        <w:t>their</w:t>
      </w:r>
      <w:r>
        <w:rPr>
          <w:spacing w:val="-11"/>
          <w:w w:val="110"/>
        </w:rPr>
        <w:t> </w:t>
      </w:r>
      <w:r>
        <w:rPr>
          <w:w w:val="110"/>
        </w:rPr>
        <w:t>portfolios</w:t>
      </w:r>
      <w:r>
        <w:rPr>
          <w:spacing w:val="-13"/>
          <w:w w:val="110"/>
        </w:rPr>
        <w:t> </w:t>
      </w:r>
      <w:r>
        <w:rPr>
          <w:w w:val="110"/>
        </w:rPr>
        <w:t>to</w:t>
      </w:r>
      <w:r>
        <w:rPr>
          <w:spacing w:val="-12"/>
          <w:w w:val="110"/>
        </w:rPr>
        <w:t> </w:t>
      </w:r>
      <w:r>
        <w:rPr>
          <w:w w:val="110"/>
        </w:rPr>
        <w:t>the</w:t>
      </w:r>
      <w:r>
        <w:rPr>
          <w:spacing w:val="-9"/>
          <w:w w:val="110"/>
        </w:rPr>
        <w:t> </w:t>
      </w:r>
      <w:r>
        <w:rPr>
          <w:w w:val="110"/>
        </w:rPr>
        <w:t>Authority</w:t>
      </w:r>
      <w:r>
        <w:rPr>
          <w:spacing w:val="-14"/>
          <w:w w:val="110"/>
        </w:rPr>
        <w:t> </w:t>
      </w:r>
      <w:r>
        <w:rPr>
          <w:w w:val="110"/>
        </w:rPr>
        <w:t>in</w:t>
      </w:r>
      <w:r>
        <w:rPr>
          <w:spacing w:val="-11"/>
          <w:w w:val="110"/>
        </w:rPr>
        <w:t> </w:t>
      </w:r>
      <w:r>
        <w:rPr>
          <w:w w:val="110"/>
        </w:rPr>
        <w:t>February. These will be processed and sent to the panel leader (or a senior marker), in batches, during February and March. Please completely remark each portfolio using a black pen. You may  allocate some, or all, to your senior marker if you</w:t>
      </w:r>
      <w:r>
        <w:rPr>
          <w:spacing w:val="-5"/>
          <w:w w:val="110"/>
        </w:rPr>
        <w:t> </w:t>
      </w:r>
      <w:r>
        <w:rPr>
          <w:w w:val="110"/>
        </w:rPr>
        <w:t>wish.</w:t>
      </w:r>
    </w:p>
    <w:p>
      <w:pPr>
        <w:pStyle w:val="BodyText"/>
        <w:spacing w:before="5"/>
        <w:rPr>
          <w:sz w:val="31"/>
        </w:rPr>
      </w:pPr>
    </w:p>
    <w:p>
      <w:pPr>
        <w:pStyle w:val="Heading3"/>
      </w:pPr>
      <w:bookmarkStart w:name="_TOC_250001" w:id="47"/>
      <w:bookmarkEnd w:id="47"/>
      <w:r>
        <w:rPr>
          <w:w w:val="115"/>
        </w:rPr>
        <w:t>Review Meeting</w:t>
      </w:r>
    </w:p>
    <w:p>
      <w:pPr>
        <w:pStyle w:val="BodyText"/>
        <w:spacing w:before="120"/>
        <w:ind w:left="392" w:right="580"/>
      </w:pPr>
      <w:r>
        <w:rPr>
          <w:w w:val="110"/>
        </w:rPr>
        <w:t>If</w:t>
      </w:r>
      <w:r>
        <w:rPr>
          <w:spacing w:val="-8"/>
          <w:w w:val="110"/>
        </w:rPr>
        <w:t> </w:t>
      </w:r>
      <w:r>
        <w:rPr>
          <w:w w:val="110"/>
        </w:rPr>
        <w:t>a</w:t>
      </w:r>
      <w:r>
        <w:rPr>
          <w:spacing w:val="-11"/>
          <w:w w:val="110"/>
        </w:rPr>
        <w:t> </w:t>
      </w:r>
      <w:r>
        <w:rPr>
          <w:w w:val="110"/>
        </w:rPr>
        <w:t>review</w:t>
      </w:r>
      <w:r>
        <w:rPr>
          <w:spacing w:val="-12"/>
          <w:w w:val="110"/>
        </w:rPr>
        <w:t> </w:t>
      </w:r>
      <w:r>
        <w:rPr>
          <w:w w:val="110"/>
        </w:rPr>
        <w:t>meeting</w:t>
      </w:r>
      <w:r>
        <w:rPr>
          <w:spacing w:val="-7"/>
          <w:w w:val="110"/>
        </w:rPr>
        <w:t> </w:t>
      </w:r>
      <w:r>
        <w:rPr>
          <w:w w:val="110"/>
        </w:rPr>
        <w:t>is</w:t>
      </w:r>
      <w:r>
        <w:rPr>
          <w:spacing w:val="-12"/>
          <w:w w:val="110"/>
        </w:rPr>
        <w:t> </w:t>
      </w:r>
      <w:r>
        <w:rPr>
          <w:w w:val="110"/>
        </w:rPr>
        <w:t>called</w:t>
      </w:r>
      <w:r>
        <w:rPr>
          <w:spacing w:val="-10"/>
          <w:w w:val="110"/>
        </w:rPr>
        <w:t> </w:t>
      </w:r>
      <w:r>
        <w:rPr>
          <w:w w:val="110"/>
        </w:rPr>
        <w:t>by</w:t>
      </w:r>
      <w:r>
        <w:rPr>
          <w:spacing w:val="-9"/>
          <w:w w:val="110"/>
        </w:rPr>
        <w:t> </w:t>
      </w:r>
      <w:r>
        <w:rPr>
          <w:w w:val="110"/>
        </w:rPr>
        <w:t>the</w:t>
      </w:r>
      <w:r>
        <w:rPr>
          <w:spacing w:val="-8"/>
          <w:w w:val="110"/>
        </w:rPr>
        <w:t> </w:t>
      </w:r>
      <w:r>
        <w:rPr>
          <w:w w:val="110"/>
        </w:rPr>
        <w:t>NAF,</w:t>
      </w:r>
      <w:r>
        <w:rPr>
          <w:spacing w:val="-11"/>
          <w:w w:val="110"/>
        </w:rPr>
        <w:t> </w:t>
      </w:r>
      <w:r>
        <w:rPr>
          <w:w w:val="110"/>
        </w:rPr>
        <w:t>this</w:t>
      </w:r>
      <w:r>
        <w:rPr>
          <w:spacing w:val="-12"/>
          <w:w w:val="110"/>
        </w:rPr>
        <w:t> </w:t>
      </w:r>
      <w:r>
        <w:rPr>
          <w:w w:val="110"/>
        </w:rPr>
        <w:t>will</w:t>
      </w:r>
      <w:r>
        <w:rPr>
          <w:spacing w:val="-10"/>
          <w:w w:val="110"/>
        </w:rPr>
        <w:t> </w:t>
      </w:r>
      <w:r>
        <w:rPr>
          <w:w w:val="110"/>
        </w:rPr>
        <w:t>involve</w:t>
      </w:r>
      <w:r>
        <w:rPr>
          <w:spacing w:val="-9"/>
          <w:w w:val="110"/>
        </w:rPr>
        <w:t> </w:t>
      </w:r>
      <w:r>
        <w:rPr>
          <w:w w:val="110"/>
        </w:rPr>
        <w:t>panel</w:t>
      </w:r>
      <w:r>
        <w:rPr>
          <w:spacing w:val="-10"/>
          <w:w w:val="110"/>
        </w:rPr>
        <w:t> </w:t>
      </w:r>
      <w:r>
        <w:rPr>
          <w:w w:val="110"/>
        </w:rPr>
        <w:t>leader(s)</w:t>
      </w:r>
      <w:r>
        <w:rPr>
          <w:spacing w:val="-9"/>
          <w:w w:val="110"/>
        </w:rPr>
        <w:t> </w:t>
      </w:r>
      <w:r>
        <w:rPr>
          <w:spacing w:val="-2"/>
          <w:w w:val="110"/>
        </w:rPr>
        <w:t>and</w:t>
      </w:r>
      <w:r>
        <w:rPr>
          <w:spacing w:val="-10"/>
          <w:w w:val="110"/>
        </w:rPr>
        <w:t> </w:t>
      </w:r>
      <w:r>
        <w:rPr>
          <w:w w:val="110"/>
        </w:rPr>
        <w:t>check</w:t>
      </w:r>
      <w:r>
        <w:rPr>
          <w:spacing w:val="-8"/>
          <w:w w:val="110"/>
        </w:rPr>
        <w:t> </w:t>
      </w:r>
      <w:r>
        <w:rPr>
          <w:w w:val="110"/>
        </w:rPr>
        <w:t>marker(s),</w:t>
      </w:r>
      <w:r>
        <w:rPr>
          <w:spacing w:val="-10"/>
          <w:w w:val="110"/>
        </w:rPr>
        <w:t> </w:t>
      </w:r>
      <w:r>
        <w:rPr>
          <w:w w:val="110"/>
        </w:rPr>
        <w:t>who are</w:t>
      </w:r>
      <w:r>
        <w:rPr>
          <w:spacing w:val="-10"/>
          <w:w w:val="110"/>
        </w:rPr>
        <w:t> </w:t>
      </w:r>
      <w:r>
        <w:rPr>
          <w:w w:val="110"/>
        </w:rPr>
        <w:t>responsible</w:t>
      </w:r>
      <w:r>
        <w:rPr>
          <w:spacing w:val="-10"/>
          <w:w w:val="110"/>
        </w:rPr>
        <w:t> </w:t>
      </w:r>
      <w:r>
        <w:rPr>
          <w:w w:val="110"/>
        </w:rPr>
        <w:t>for</w:t>
      </w:r>
      <w:r>
        <w:rPr>
          <w:spacing w:val="-7"/>
          <w:w w:val="110"/>
        </w:rPr>
        <w:t> </w:t>
      </w:r>
      <w:r>
        <w:rPr>
          <w:w w:val="110"/>
        </w:rPr>
        <w:t>writing</w:t>
      </w:r>
      <w:r>
        <w:rPr>
          <w:spacing w:val="-8"/>
          <w:w w:val="110"/>
        </w:rPr>
        <w:t> </w:t>
      </w:r>
      <w:r>
        <w:rPr>
          <w:w w:val="110"/>
        </w:rPr>
        <w:t>the</w:t>
      </w:r>
      <w:r>
        <w:rPr>
          <w:spacing w:val="-9"/>
          <w:w w:val="110"/>
        </w:rPr>
        <w:t> </w:t>
      </w:r>
      <w:r>
        <w:rPr>
          <w:w w:val="110"/>
        </w:rPr>
        <w:t>assessment</w:t>
      </w:r>
      <w:r>
        <w:rPr>
          <w:spacing w:val="-9"/>
          <w:w w:val="110"/>
        </w:rPr>
        <w:t> </w:t>
      </w:r>
      <w:r>
        <w:rPr>
          <w:w w:val="110"/>
        </w:rPr>
        <w:t>report.</w:t>
      </w:r>
      <w:r>
        <w:rPr>
          <w:spacing w:val="-10"/>
          <w:w w:val="110"/>
        </w:rPr>
        <w:t> </w:t>
      </w:r>
      <w:r>
        <w:rPr>
          <w:w w:val="110"/>
        </w:rPr>
        <w:t>Review</w:t>
      </w:r>
      <w:r>
        <w:rPr>
          <w:spacing w:val="-8"/>
          <w:w w:val="110"/>
        </w:rPr>
        <w:t> </w:t>
      </w:r>
      <w:r>
        <w:rPr>
          <w:w w:val="110"/>
        </w:rPr>
        <w:t>meetings</w:t>
      </w:r>
      <w:r>
        <w:rPr>
          <w:spacing w:val="-8"/>
          <w:w w:val="110"/>
        </w:rPr>
        <w:t> </w:t>
      </w:r>
      <w:r>
        <w:rPr>
          <w:w w:val="110"/>
        </w:rPr>
        <w:t>will</w:t>
      </w:r>
      <w:r>
        <w:rPr>
          <w:spacing w:val="-7"/>
          <w:w w:val="110"/>
        </w:rPr>
        <w:t> </w:t>
      </w:r>
      <w:r>
        <w:rPr>
          <w:w w:val="110"/>
        </w:rPr>
        <w:t>be</w:t>
      </w:r>
      <w:r>
        <w:rPr>
          <w:spacing w:val="-6"/>
          <w:w w:val="110"/>
        </w:rPr>
        <w:t> </w:t>
      </w:r>
      <w:r>
        <w:rPr>
          <w:w w:val="110"/>
        </w:rPr>
        <w:t>held</w:t>
      </w:r>
      <w:r>
        <w:rPr>
          <w:spacing w:val="-7"/>
          <w:w w:val="110"/>
        </w:rPr>
        <w:t> </w:t>
      </w:r>
      <w:r>
        <w:rPr>
          <w:w w:val="110"/>
        </w:rPr>
        <w:t>mid-year</w:t>
      </w:r>
      <w:r>
        <w:rPr>
          <w:spacing w:val="-9"/>
          <w:w w:val="110"/>
        </w:rPr>
        <w:t> </w:t>
      </w:r>
      <w:r>
        <w:rPr>
          <w:w w:val="110"/>
        </w:rPr>
        <w:t>following marking. The purpose of this meeting is to review the previous year’s marking processes and outcomes.</w:t>
      </w:r>
    </w:p>
    <w:p>
      <w:pPr>
        <w:pStyle w:val="BodyText"/>
      </w:pPr>
    </w:p>
    <w:p>
      <w:pPr>
        <w:pStyle w:val="BodyText"/>
        <w:ind w:left="392" w:right="769"/>
      </w:pPr>
      <w:r>
        <w:rPr>
          <w:w w:val="105"/>
        </w:rPr>
        <w:t>The review meeting will include an opportunity to review patterns of performance evident in the results. Justifications of results which fell outside the PEP will be considered.</w:t>
      </w:r>
    </w:p>
    <w:p>
      <w:pPr>
        <w:spacing w:after="0"/>
        <w:sectPr>
          <w:pgSz w:w="11910" w:h="16840"/>
          <w:pgMar w:header="0" w:footer="297" w:top="760" w:bottom="480" w:left="740" w:right="580"/>
        </w:sectPr>
      </w:pPr>
    </w:p>
    <w:p>
      <w:pPr>
        <w:pStyle w:val="BodyText"/>
        <w:spacing w:before="74"/>
        <w:ind w:left="392"/>
      </w:pPr>
      <w:r>
        <w:rPr>
          <w:w w:val="110"/>
        </w:rPr>
        <w:t>The following documents will be provided before or at the Review Meeting:</w:t>
      </w:r>
    </w:p>
    <w:p>
      <w:pPr>
        <w:pStyle w:val="ListParagraph"/>
        <w:numPr>
          <w:ilvl w:val="0"/>
          <w:numId w:val="2"/>
        </w:numPr>
        <w:tabs>
          <w:tab w:pos="752" w:val="left" w:leader="none"/>
          <w:tab w:pos="753" w:val="left" w:leader="none"/>
        </w:tabs>
        <w:spacing w:line="240" w:lineRule="auto" w:before="136" w:after="0"/>
        <w:ind w:left="755" w:right="1011" w:hanging="358"/>
        <w:jc w:val="left"/>
        <w:rPr>
          <w:sz w:val="22"/>
        </w:rPr>
      </w:pPr>
      <w:r>
        <w:rPr>
          <w:w w:val="110"/>
          <w:sz w:val="22"/>
        </w:rPr>
        <w:t>either the Panel Leader Report for each externally assessed achievement standard at your subject level or the completed Assessment</w:t>
      </w:r>
      <w:r>
        <w:rPr>
          <w:spacing w:val="12"/>
          <w:w w:val="110"/>
          <w:sz w:val="22"/>
        </w:rPr>
        <w:t> </w:t>
      </w:r>
      <w:r>
        <w:rPr>
          <w:w w:val="110"/>
          <w:sz w:val="22"/>
        </w:rPr>
        <w:t>Report</w:t>
      </w:r>
    </w:p>
    <w:p>
      <w:pPr>
        <w:pStyle w:val="ListParagraph"/>
        <w:numPr>
          <w:ilvl w:val="0"/>
          <w:numId w:val="2"/>
        </w:numPr>
        <w:tabs>
          <w:tab w:pos="752" w:val="left" w:leader="none"/>
          <w:tab w:pos="753" w:val="left" w:leader="none"/>
        </w:tabs>
        <w:spacing w:line="240" w:lineRule="auto" w:before="135" w:after="0"/>
        <w:ind w:left="755" w:right="1351" w:hanging="358"/>
        <w:jc w:val="left"/>
        <w:rPr>
          <w:sz w:val="22"/>
        </w:rPr>
      </w:pPr>
      <w:r>
        <w:rPr>
          <w:w w:val="110"/>
          <w:sz w:val="22"/>
        </w:rPr>
        <w:t>the Profile of Expected Performance (PEP) and Spread of Performance (SOP) for each standard</w:t>
      </w:r>
    </w:p>
    <w:p>
      <w:pPr>
        <w:pStyle w:val="BodyText"/>
        <w:spacing w:before="118"/>
        <w:ind w:left="392"/>
      </w:pPr>
      <w:r>
        <w:rPr>
          <w:w w:val="110"/>
        </w:rPr>
        <w:t>Teacher and Candidate survey data collected by NZQA (if your subject was surveyed).</w:t>
      </w:r>
    </w:p>
    <w:p>
      <w:pPr>
        <w:pStyle w:val="BodyText"/>
        <w:rPr>
          <w:sz w:val="20"/>
        </w:rPr>
      </w:pPr>
    </w:p>
    <w:p>
      <w:pPr>
        <w:pStyle w:val="BodyText"/>
        <w:rPr>
          <w:sz w:val="20"/>
        </w:rPr>
      </w:pPr>
    </w:p>
    <w:p>
      <w:pPr>
        <w:pStyle w:val="BodyText"/>
        <w:rPr>
          <w:sz w:val="20"/>
        </w:rPr>
      </w:pPr>
    </w:p>
    <w:p>
      <w:pPr>
        <w:pStyle w:val="BodyText"/>
        <w:spacing w:before="10"/>
        <w:rPr>
          <w:sz w:val="24"/>
        </w:rPr>
      </w:pPr>
      <w:r>
        <w:rPr/>
        <w:pict>
          <v:shape style="position:absolute;margin-left:56.880001pt;margin-top:16.539337pt;width:481.45pt;height:147.75pt;mso-position-horizontal-relative:page;mso-position-vertical-relative:paragraph;z-index:-376;mso-wrap-distance-left:0;mso-wrap-distance-right:0" type="#_x0000_t202" filled="true" fillcolor="#ffbf00" stroked="true" strokeweight=".480011pt" strokecolor="#000000">
            <v:textbox inset="0,0,0,0">
              <w:txbxContent>
                <w:p>
                  <w:pPr>
                    <w:pStyle w:val="BodyText"/>
                    <w:rPr>
                      <w:sz w:val="44"/>
                    </w:rPr>
                  </w:pPr>
                </w:p>
                <w:p>
                  <w:pPr>
                    <w:pStyle w:val="BodyText"/>
                    <w:spacing w:before="4"/>
                    <w:rPr>
                      <w:sz w:val="44"/>
                    </w:rPr>
                  </w:pPr>
                </w:p>
                <w:p>
                  <w:pPr>
                    <w:spacing w:before="0"/>
                    <w:ind w:left="1211" w:right="1115" w:hanging="80"/>
                    <w:jc w:val="left"/>
                    <w:rPr>
                      <w:sz w:val="40"/>
                    </w:rPr>
                  </w:pPr>
                  <w:r>
                    <w:rPr>
                      <w:w w:val="105"/>
                      <w:sz w:val="40"/>
                    </w:rPr>
                    <w:t>THANK</w:t>
                  </w:r>
                  <w:r>
                    <w:rPr>
                      <w:spacing w:val="-28"/>
                      <w:w w:val="105"/>
                      <w:sz w:val="40"/>
                    </w:rPr>
                    <w:t> </w:t>
                  </w:r>
                  <w:r>
                    <w:rPr>
                      <w:w w:val="105"/>
                      <w:sz w:val="40"/>
                    </w:rPr>
                    <w:t>YOU</w:t>
                  </w:r>
                  <w:r>
                    <w:rPr>
                      <w:spacing w:val="-28"/>
                      <w:w w:val="105"/>
                      <w:sz w:val="40"/>
                    </w:rPr>
                    <w:t> </w:t>
                  </w:r>
                  <w:r>
                    <w:rPr>
                      <w:w w:val="105"/>
                      <w:sz w:val="40"/>
                    </w:rPr>
                    <w:t>FOR</w:t>
                  </w:r>
                  <w:r>
                    <w:rPr>
                      <w:spacing w:val="-25"/>
                      <w:w w:val="105"/>
                      <w:sz w:val="40"/>
                    </w:rPr>
                    <w:t> </w:t>
                  </w:r>
                  <w:r>
                    <w:rPr>
                      <w:w w:val="105"/>
                      <w:sz w:val="40"/>
                    </w:rPr>
                    <w:t>YOUR</w:t>
                  </w:r>
                  <w:r>
                    <w:rPr>
                      <w:spacing w:val="-28"/>
                      <w:w w:val="105"/>
                      <w:sz w:val="40"/>
                    </w:rPr>
                    <w:t> </w:t>
                  </w:r>
                  <w:r>
                    <w:rPr>
                      <w:w w:val="105"/>
                      <w:sz w:val="40"/>
                    </w:rPr>
                    <w:t>HARD</w:t>
                  </w:r>
                  <w:r>
                    <w:rPr>
                      <w:spacing w:val="-28"/>
                      <w:w w:val="105"/>
                      <w:sz w:val="40"/>
                    </w:rPr>
                    <w:t> </w:t>
                  </w:r>
                  <w:r>
                    <w:rPr>
                      <w:w w:val="105"/>
                      <w:sz w:val="40"/>
                    </w:rPr>
                    <w:t>WORK, YOUR EFFORTS ARE</w:t>
                  </w:r>
                  <w:r>
                    <w:rPr>
                      <w:spacing w:val="52"/>
                      <w:w w:val="105"/>
                      <w:sz w:val="40"/>
                    </w:rPr>
                    <w:t> </w:t>
                  </w:r>
                  <w:r>
                    <w:rPr>
                      <w:w w:val="105"/>
                      <w:sz w:val="40"/>
                    </w:rPr>
                    <w:t>APPRECIATED!</w:t>
                  </w:r>
                </w:p>
              </w:txbxContent>
            </v:textbox>
            <v:fill type="solid"/>
            <v:stroke dashstyle="solid"/>
            <w10:wrap type="topAndBottom"/>
          </v:shape>
        </w:pict>
      </w:r>
    </w:p>
    <w:p>
      <w:pPr>
        <w:spacing w:after="0"/>
        <w:rPr>
          <w:sz w:val="24"/>
        </w:rPr>
        <w:sectPr>
          <w:pgSz w:w="11910" w:h="16840"/>
          <w:pgMar w:header="0" w:footer="297" w:top="760" w:bottom="480" w:left="740" w:right="580"/>
        </w:sectPr>
      </w:pPr>
    </w:p>
    <w:p>
      <w:pPr>
        <w:pStyle w:val="Heading1"/>
      </w:pPr>
      <w:bookmarkStart w:name="_TOC_250000" w:id="48"/>
      <w:bookmarkEnd w:id="48"/>
      <w:r>
        <w:rPr>
          <w:w w:val="105"/>
        </w:rPr>
        <w:t>APPENDICES</w:t>
      </w:r>
    </w:p>
    <w:p>
      <w:pPr>
        <w:pStyle w:val="Heading2"/>
        <w:spacing w:before="238"/>
        <w:ind w:left="392"/>
      </w:pPr>
      <w:r>
        <w:rPr>
          <w:color w:val="548CD4"/>
          <w:w w:val="115"/>
        </w:rPr>
        <w:t>Appendix A: Planning Sheet for Marking Timelines</w:t>
      </w:r>
    </w:p>
    <w:p>
      <w:pPr>
        <w:pStyle w:val="BodyText"/>
        <w:spacing w:before="252"/>
        <w:ind w:left="454"/>
      </w:pPr>
      <w:r>
        <w:rPr>
          <w:w w:val="110"/>
        </w:rPr>
        <w:t>(for panel leader use—completed copies to be given to markers)</w:t>
      </w:r>
    </w:p>
    <w:p>
      <w:pPr>
        <w:pStyle w:val="BodyText"/>
        <w:spacing w:before="11"/>
        <w:rPr>
          <w:sz w:val="21"/>
        </w:rPr>
      </w:pPr>
    </w:p>
    <w:tbl>
      <w:tblPr>
        <w:tblW w:w="0" w:type="auto"/>
        <w:jc w:val="left"/>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0"/>
        <w:gridCol w:w="1416"/>
        <w:gridCol w:w="1560"/>
        <w:gridCol w:w="1560"/>
        <w:gridCol w:w="1824"/>
      </w:tblGrid>
      <w:tr>
        <w:trPr>
          <w:trHeight w:val="760" w:hRule="atLeast"/>
        </w:trPr>
        <w:tc>
          <w:tcPr>
            <w:tcW w:w="3120" w:type="dxa"/>
            <w:shd w:val="clear" w:color="auto" w:fill="FFBF00"/>
          </w:tcPr>
          <w:p>
            <w:pPr>
              <w:pStyle w:val="TableParagraph"/>
              <w:spacing w:before="121"/>
              <w:ind w:left="110"/>
              <w:rPr>
                <w:sz w:val="22"/>
              </w:rPr>
            </w:pPr>
            <w:r>
              <w:rPr>
                <w:w w:val="115"/>
                <w:sz w:val="22"/>
              </w:rPr>
              <w:t>Day</w:t>
            </w:r>
          </w:p>
        </w:tc>
        <w:tc>
          <w:tcPr>
            <w:tcW w:w="1416" w:type="dxa"/>
            <w:shd w:val="clear" w:color="auto" w:fill="FFBF00"/>
          </w:tcPr>
          <w:p>
            <w:pPr>
              <w:pStyle w:val="TableParagraph"/>
              <w:spacing w:before="121"/>
              <w:ind w:left="297" w:right="289"/>
              <w:jc w:val="center"/>
              <w:rPr>
                <w:sz w:val="22"/>
              </w:rPr>
            </w:pPr>
            <w:r>
              <w:rPr>
                <w:w w:val="120"/>
                <w:sz w:val="22"/>
              </w:rPr>
              <w:t>Date</w:t>
            </w:r>
          </w:p>
        </w:tc>
        <w:tc>
          <w:tcPr>
            <w:tcW w:w="1560" w:type="dxa"/>
            <w:shd w:val="clear" w:color="auto" w:fill="FFBF00"/>
          </w:tcPr>
          <w:p>
            <w:pPr>
              <w:pStyle w:val="TableParagraph"/>
              <w:spacing w:before="1"/>
              <w:ind w:left="359" w:firstLine="160"/>
              <w:rPr>
                <w:sz w:val="22"/>
              </w:rPr>
            </w:pPr>
            <w:r>
              <w:rPr>
                <w:w w:val="110"/>
                <w:sz w:val="22"/>
              </w:rPr>
              <w:t>Daily</w:t>
            </w:r>
          </w:p>
          <w:p>
            <w:pPr>
              <w:pStyle w:val="TableParagraph"/>
              <w:spacing w:line="252" w:lineRule="exact" w:before="5"/>
              <w:ind w:left="359" w:right="342"/>
              <w:jc w:val="center"/>
              <w:rPr>
                <w:sz w:val="22"/>
              </w:rPr>
            </w:pPr>
            <w:r>
              <w:rPr>
                <w:w w:val="110"/>
                <w:sz w:val="22"/>
              </w:rPr>
              <w:t>Marking </w:t>
            </w:r>
            <w:r>
              <w:rPr>
                <w:w w:val="115"/>
                <w:sz w:val="22"/>
              </w:rPr>
              <w:t>Quota</w:t>
            </w:r>
          </w:p>
        </w:tc>
        <w:tc>
          <w:tcPr>
            <w:tcW w:w="1560" w:type="dxa"/>
            <w:shd w:val="clear" w:color="auto" w:fill="FFBF00"/>
          </w:tcPr>
          <w:p>
            <w:pPr>
              <w:pStyle w:val="TableParagraph"/>
              <w:spacing w:before="121"/>
              <w:ind w:left="518" w:right="160" w:hanging="329"/>
              <w:rPr>
                <w:sz w:val="22"/>
              </w:rPr>
            </w:pPr>
            <w:r>
              <w:rPr>
                <w:w w:val="115"/>
                <w:sz w:val="22"/>
              </w:rPr>
              <w:t>Cumulative Total</w:t>
            </w:r>
          </w:p>
        </w:tc>
        <w:tc>
          <w:tcPr>
            <w:tcW w:w="1824" w:type="dxa"/>
            <w:shd w:val="clear" w:color="auto" w:fill="FFBF00"/>
          </w:tcPr>
          <w:p>
            <w:pPr>
              <w:pStyle w:val="TableParagraph"/>
              <w:spacing w:before="121"/>
              <w:ind w:left="117" w:firstLine="9"/>
              <w:rPr>
                <w:sz w:val="22"/>
              </w:rPr>
            </w:pPr>
            <w:r>
              <w:rPr>
                <w:w w:val="115"/>
                <w:sz w:val="22"/>
              </w:rPr>
              <w:t>Check Marking </w:t>
            </w:r>
            <w:r>
              <w:rPr>
                <w:w w:val="120"/>
                <w:sz w:val="22"/>
              </w:rPr>
              <w:t>Dispatch Dates</w:t>
            </w:r>
          </w:p>
        </w:tc>
      </w:tr>
      <w:tr>
        <w:trPr>
          <w:trHeight w:val="375" w:hRule="atLeast"/>
        </w:trPr>
        <w:tc>
          <w:tcPr>
            <w:tcW w:w="3120" w:type="dxa"/>
          </w:tcPr>
          <w:p>
            <w:pPr>
              <w:pStyle w:val="TableParagraph"/>
              <w:spacing w:before="60"/>
              <w:ind w:left="110"/>
              <w:rPr>
                <w:sz w:val="22"/>
              </w:rPr>
            </w:pPr>
            <w:r>
              <w:rPr>
                <w:w w:val="105"/>
                <w:sz w:val="22"/>
              </w:rPr>
              <w:t>Portfolios received</w:t>
            </w:r>
          </w:p>
        </w:tc>
        <w:tc>
          <w:tcPr>
            <w:tcW w:w="1416" w:type="dxa"/>
          </w:tcPr>
          <w:p>
            <w:pPr>
              <w:pStyle w:val="TableParagraph"/>
              <w:rPr>
                <w:sz w:val="22"/>
              </w:rPr>
            </w:pPr>
          </w:p>
        </w:tc>
        <w:tc>
          <w:tcPr>
            <w:tcW w:w="1560" w:type="dxa"/>
            <w:shd w:val="clear" w:color="auto" w:fill="FFBF00"/>
          </w:tcPr>
          <w:p>
            <w:pPr>
              <w:pStyle w:val="TableParagraph"/>
              <w:rPr>
                <w:sz w:val="22"/>
              </w:rPr>
            </w:pPr>
          </w:p>
        </w:tc>
        <w:tc>
          <w:tcPr>
            <w:tcW w:w="1560" w:type="dxa"/>
            <w:shd w:val="clear" w:color="auto" w:fill="FFBF00"/>
          </w:tcPr>
          <w:p>
            <w:pPr>
              <w:pStyle w:val="TableParagraph"/>
              <w:rPr>
                <w:sz w:val="22"/>
              </w:rPr>
            </w:pPr>
          </w:p>
        </w:tc>
        <w:tc>
          <w:tcPr>
            <w:tcW w:w="1824" w:type="dxa"/>
            <w:shd w:val="clear" w:color="auto" w:fill="FFBF00"/>
          </w:tcPr>
          <w:p>
            <w:pPr>
              <w:pStyle w:val="TableParagraph"/>
              <w:rPr>
                <w:sz w:val="22"/>
              </w:rPr>
            </w:pPr>
          </w:p>
        </w:tc>
      </w:tr>
      <w:tr>
        <w:trPr>
          <w:trHeight w:val="373" w:hRule="atLeast"/>
        </w:trPr>
        <w:tc>
          <w:tcPr>
            <w:tcW w:w="3120" w:type="dxa"/>
          </w:tcPr>
          <w:p>
            <w:pPr>
              <w:pStyle w:val="TableParagraph"/>
              <w:spacing w:before="61"/>
              <w:ind w:left="110"/>
              <w:rPr>
                <w:sz w:val="22"/>
              </w:rPr>
            </w:pPr>
            <w:r>
              <w:rPr>
                <w:w w:val="105"/>
                <w:sz w:val="22"/>
              </w:rPr>
              <w:t>Marker Training Meeting(s)</w:t>
            </w:r>
          </w:p>
        </w:tc>
        <w:tc>
          <w:tcPr>
            <w:tcW w:w="1416" w:type="dxa"/>
          </w:tcPr>
          <w:p>
            <w:pPr>
              <w:pStyle w:val="TableParagraph"/>
              <w:rPr>
                <w:sz w:val="22"/>
              </w:rPr>
            </w:pPr>
          </w:p>
        </w:tc>
        <w:tc>
          <w:tcPr>
            <w:tcW w:w="1560" w:type="dxa"/>
          </w:tcPr>
          <w:p>
            <w:pPr>
              <w:pStyle w:val="TableParagraph"/>
              <w:rPr>
                <w:sz w:val="22"/>
              </w:rPr>
            </w:pPr>
          </w:p>
        </w:tc>
        <w:tc>
          <w:tcPr>
            <w:tcW w:w="1560" w:type="dxa"/>
          </w:tcPr>
          <w:p>
            <w:pPr>
              <w:pStyle w:val="TableParagraph"/>
              <w:rPr>
                <w:sz w:val="22"/>
              </w:rPr>
            </w:pPr>
          </w:p>
        </w:tc>
        <w:tc>
          <w:tcPr>
            <w:tcW w:w="1824" w:type="dxa"/>
          </w:tcPr>
          <w:p>
            <w:pPr>
              <w:pStyle w:val="TableParagraph"/>
              <w:rPr>
                <w:sz w:val="22"/>
              </w:rPr>
            </w:pPr>
          </w:p>
        </w:tc>
      </w:tr>
      <w:tr>
        <w:trPr>
          <w:trHeight w:val="378" w:hRule="atLeast"/>
        </w:trPr>
        <w:tc>
          <w:tcPr>
            <w:tcW w:w="3120" w:type="dxa"/>
          </w:tcPr>
          <w:p>
            <w:pPr>
              <w:pStyle w:val="TableParagraph"/>
              <w:spacing w:before="63"/>
              <w:ind w:left="110"/>
              <w:rPr>
                <w:sz w:val="22"/>
              </w:rPr>
            </w:pPr>
            <w:r>
              <w:rPr>
                <w:w w:val="110"/>
                <w:sz w:val="22"/>
              </w:rPr>
              <w:t>Start page number</w:t>
            </w:r>
          </w:p>
        </w:tc>
        <w:tc>
          <w:tcPr>
            <w:tcW w:w="1416" w:type="dxa"/>
          </w:tcPr>
          <w:p>
            <w:pPr>
              <w:pStyle w:val="TableParagraph"/>
              <w:rPr>
                <w:sz w:val="22"/>
              </w:rPr>
            </w:pPr>
          </w:p>
        </w:tc>
        <w:tc>
          <w:tcPr>
            <w:tcW w:w="1560" w:type="dxa"/>
          </w:tcPr>
          <w:p>
            <w:pPr>
              <w:pStyle w:val="TableParagraph"/>
              <w:rPr>
                <w:sz w:val="22"/>
              </w:rPr>
            </w:pPr>
          </w:p>
        </w:tc>
        <w:tc>
          <w:tcPr>
            <w:tcW w:w="1560" w:type="dxa"/>
          </w:tcPr>
          <w:p>
            <w:pPr>
              <w:pStyle w:val="TableParagraph"/>
              <w:rPr>
                <w:sz w:val="22"/>
              </w:rPr>
            </w:pPr>
          </w:p>
        </w:tc>
        <w:tc>
          <w:tcPr>
            <w:tcW w:w="1824" w:type="dxa"/>
          </w:tcPr>
          <w:p>
            <w:pPr>
              <w:pStyle w:val="TableParagraph"/>
              <w:rPr>
                <w:sz w:val="22"/>
              </w:rPr>
            </w:pPr>
          </w:p>
        </w:tc>
      </w:tr>
      <w:tr>
        <w:trPr>
          <w:trHeight w:val="498" w:hRule="atLeast"/>
        </w:trPr>
        <w:tc>
          <w:tcPr>
            <w:tcW w:w="3120" w:type="dxa"/>
          </w:tcPr>
          <w:p>
            <w:pPr>
              <w:pStyle w:val="TableParagraph"/>
              <w:spacing w:before="121"/>
              <w:ind w:left="470"/>
              <w:rPr>
                <w:sz w:val="22"/>
              </w:rPr>
            </w:pPr>
            <w:r>
              <w:rPr>
                <w:w w:val="110"/>
                <w:sz w:val="22"/>
              </w:rPr>
              <w:t>1.</w:t>
            </w:r>
          </w:p>
        </w:tc>
        <w:tc>
          <w:tcPr>
            <w:tcW w:w="1416" w:type="dxa"/>
          </w:tcPr>
          <w:p>
            <w:pPr>
              <w:pStyle w:val="TableParagraph"/>
              <w:spacing w:before="121"/>
              <w:ind w:left="297" w:right="289"/>
              <w:jc w:val="center"/>
              <w:rPr>
                <w:sz w:val="22"/>
              </w:rPr>
            </w:pPr>
            <w:r>
              <w:rPr>
                <w:w w:val="110"/>
                <w:sz w:val="22"/>
              </w:rPr>
              <w:t>15 Nov.</w:t>
            </w:r>
          </w:p>
        </w:tc>
        <w:tc>
          <w:tcPr>
            <w:tcW w:w="1560" w:type="dxa"/>
          </w:tcPr>
          <w:p>
            <w:pPr>
              <w:pStyle w:val="TableParagraph"/>
              <w:spacing w:before="121"/>
              <w:ind w:right="627"/>
              <w:jc w:val="right"/>
              <w:rPr>
                <w:sz w:val="22"/>
              </w:rPr>
            </w:pPr>
            <w:r>
              <w:rPr>
                <w:w w:val="110"/>
                <w:sz w:val="22"/>
              </w:rPr>
              <w:t>10</w:t>
            </w:r>
          </w:p>
        </w:tc>
        <w:tc>
          <w:tcPr>
            <w:tcW w:w="1560" w:type="dxa"/>
          </w:tcPr>
          <w:p>
            <w:pPr>
              <w:pStyle w:val="TableParagraph"/>
              <w:spacing w:before="121"/>
              <w:ind w:left="359" w:right="311"/>
              <w:jc w:val="center"/>
              <w:rPr>
                <w:sz w:val="22"/>
              </w:rPr>
            </w:pPr>
            <w:r>
              <w:rPr>
                <w:w w:val="110"/>
                <w:sz w:val="22"/>
              </w:rPr>
              <w:t>10</w:t>
            </w:r>
          </w:p>
        </w:tc>
        <w:tc>
          <w:tcPr>
            <w:tcW w:w="1824" w:type="dxa"/>
          </w:tcPr>
          <w:p>
            <w:pPr>
              <w:pStyle w:val="TableParagraph"/>
              <w:rPr>
                <w:sz w:val="22"/>
              </w:rPr>
            </w:pPr>
          </w:p>
        </w:tc>
      </w:tr>
      <w:tr>
        <w:trPr>
          <w:trHeight w:val="498" w:hRule="atLeast"/>
        </w:trPr>
        <w:tc>
          <w:tcPr>
            <w:tcW w:w="3120" w:type="dxa"/>
          </w:tcPr>
          <w:p>
            <w:pPr>
              <w:pStyle w:val="TableParagraph"/>
              <w:spacing w:before="121"/>
              <w:ind w:left="470"/>
              <w:rPr>
                <w:sz w:val="22"/>
              </w:rPr>
            </w:pPr>
            <w:r>
              <w:rPr>
                <w:w w:val="110"/>
                <w:sz w:val="22"/>
              </w:rPr>
              <w:t>2.</w:t>
            </w:r>
          </w:p>
        </w:tc>
        <w:tc>
          <w:tcPr>
            <w:tcW w:w="1416" w:type="dxa"/>
          </w:tcPr>
          <w:p>
            <w:pPr>
              <w:pStyle w:val="TableParagraph"/>
              <w:spacing w:before="121"/>
              <w:ind w:left="297" w:right="289"/>
              <w:jc w:val="center"/>
              <w:rPr>
                <w:sz w:val="22"/>
              </w:rPr>
            </w:pPr>
            <w:r>
              <w:rPr>
                <w:w w:val="110"/>
                <w:sz w:val="22"/>
              </w:rPr>
              <w:t>16 Nov.</w:t>
            </w:r>
          </w:p>
        </w:tc>
        <w:tc>
          <w:tcPr>
            <w:tcW w:w="1560" w:type="dxa"/>
          </w:tcPr>
          <w:p>
            <w:pPr>
              <w:pStyle w:val="TableParagraph"/>
              <w:spacing w:before="121"/>
              <w:ind w:right="627"/>
              <w:jc w:val="right"/>
              <w:rPr>
                <w:sz w:val="22"/>
              </w:rPr>
            </w:pPr>
            <w:r>
              <w:rPr>
                <w:w w:val="110"/>
                <w:sz w:val="22"/>
              </w:rPr>
              <w:t>10</w:t>
            </w:r>
          </w:p>
        </w:tc>
        <w:tc>
          <w:tcPr>
            <w:tcW w:w="1560" w:type="dxa"/>
          </w:tcPr>
          <w:p>
            <w:pPr>
              <w:pStyle w:val="TableParagraph"/>
              <w:spacing w:before="121"/>
              <w:ind w:left="359" w:right="311"/>
              <w:jc w:val="center"/>
              <w:rPr>
                <w:sz w:val="22"/>
              </w:rPr>
            </w:pPr>
            <w:r>
              <w:rPr>
                <w:w w:val="110"/>
                <w:sz w:val="22"/>
              </w:rPr>
              <w:t>20</w:t>
            </w:r>
          </w:p>
        </w:tc>
        <w:tc>
          <w:tcPr>
            <w:tcW w:w="1824" w:type="dxa"/>
          </w:tcPr>
          <w:p>
            <w:pPr>
              <w:pStyle w:val="TableParagraph"/>
              <w:rPr>
                <w:sz w:val="22"/>
              </w:rPr>
            </w:pPr>
          </w:p>
        </w:tc>
      </w:tr>
      <w:tr>
        <w:trPr>
          <w:trHeight w:val="501" w:hRule="atLeast"/>
        </w:trPr>
        <w:tc>
          <w:tcPr>
            <w:tcW w:w="3120" w:type="dxa"/>
          </w:tcPr>
          <w:p>
            <w:pPr>
              <w:pStyle w:val="TableParagraph"/>
              <w:spacing w:before="123"/>
              <w:ind w:left="470"/>
              <w:rPr>
                <w:sz w:val="22"/>
              </w:rPr>
            </w:pPr>
            <w:r>
              <w:rPr>
                <w:w w:val="110"/>
                <w:sz w:val="22"/>
              </w:rPr>
              <w:t>3.</w:t>
            </w:r>
          </w:p>
        </w:tc>
        <w:tc>
          <w:tcPr>
            <w:tcW w:w="1416" w:type="dxa"/>
          </w:tcPr>
          <w:p>
            <w:pPr>
              <w:pStyle w:val="TableParagraph"/>
              <w:spacing w:before="123"/>
              <w:ind w:left="297" w:right="289"/>
              <w:jc w:val="center"/>
              <w:rPr>
                <w:sz w:val="22"/>
              </w:rPr>
            </w:pPr>
            <w:r>
              <w:rPr>
                <w:w w:val="110"/>
                <w:sz w:val="22"/>
              </w:rPr>
              <w:t>17 Nov.</w:t>
            </w:r>
          </w:p>
        </w:tc>
        <w:tc>
          <w:tcPr>
            <w:tcW w:w="1560" w:type="dxa"/>
          </w:tcPr>
          <w:p>
            <w:pPr>
              <w:pStyle w:val="TableParagraph"/>
              <w:spacing w:before="123"/>
              <w:ind w:right="627"/>
              <w:jc w:val="right"/>
              <w:rPr>
                <w:sz w:val="22"/>
              </w:rPr>
            </w:pPr>
            <w:r>
              <w:rPr>
                <w:w w:val="110"/>
                <w:sz w:val="22"/>
              </w:rPr>
              <w:t>15</w:t>
            </w:r>
          </w:p>
        </w:tc>
        <w:tc>
          <w:tcPr>
            <w:tcW w:w="1560" w:type="dxa"/>
          </w:tcPr>
          <w:p>
            <w:pPr>
              <w:pStyle w:val="TableParagraph"/>
              <w:spacing w:before="123"/>
              <w:ind w:left="359" w:right="311"/>
              <w:jc w:val="center"/>
              <w:rPr>
                <w:sz w:val="22"/>
              </w:rPr>
            </w:pPr>
            <w:r>
              <w:rPr>
                <w:w w:val="110"/>
                <w:sz w:val="22"/>
              </w:rPr>
              <w:t>35</w:t>
            </w:r>
          </w:p>
        </w:tc>
        <w:tc>
          <w:tcPr>
            <w:tcW w:w="1824" w:type="dxa"/>
          </w:tcPr>
          <w:p>
            <w:pPr>
              <w:pStyle w:val="TableParagraph"/>
              <w:rPr>
                <w:sz w:val="22"/>
              </w:rPr>
            </w:pPr>
          </w:p>
        </w:tc>
      </w:tr>
      <w:tr>
        <w:trPr>
          <w:trHeight w:val="498" w:hRule="atLeast"/>
        </w:trPr>
        <w:tc>
          <w:tcPr>
            <w:tcW w:w="3120" w:type="dxa"/>
          </w:tcPr>
          <w:p>
            <w:pPr>
              <w:pStyle w:val="TableParagraph"/>
              <w:spacing w:before="121"/>
              <w:ind w:left="470"/>
              <w:rPr>
                <w:sz w:val="22"/>
              </w:rPr>
            </w:pPr>
            <w:r>
              <w:rPr>
                <w:w w:val="110"/>
                <w:sz w:val="22"/>
              </w:rPr>
              <w:t>4.</w:t>
            </w:r>
          </w:p>
        </w:tc>
        <w:tc>
          <w:tcPr>
            <w:tcW w:w="1416" w:type="dxa"/>
          </w:tcPr>
          <w:p>
            <w:pPr>
              <w:pStyle w:val="TableParagraph"/>
              <w:spacing w:before="121"/>
              <w:ind w:left="297" w:right="289"/>
              <w:jc w:val="center"/>
              <w:rPr>
                <w:sz w:val="22"/>
              </w:rPr>
            </w:pPr>
            <w:r>
              <w:rPr>
                <w:w w:val="110"/>
                <w:sz w:val="22"/>
              </w:rPr>
              <w:t>18 Nov.</w:t>
            </w:r>
          </w:p>
        </w:tc>
        <w:tc>
          <w:tcPr>
            <w:tcW w:w="1560" w:type="dxa"/>
          </w:tcPr>
          <w:p>
            <w:pPr>
              <w:pStyle w:val="TableParagraph"/>
              <w:spacing w:before="121"/>
              <w:ind w:right="627"/>
              <w:jc w:val="right"/>
              <w:rPr>
                <w:sz w:val="22"/>
              </w:rPr>
            </w:pPr>
            <w:r>
              <w:rPr>
                <w:w w:val="110"/>
                <w:sz w:val="22"/>
              </w:rPr>
              <w:t>15</w:t>
            </w:r>
          </w:p>
        </w:tc>
        <w:tc>
          <w:tcPr>
            <w:tcW w:w="1560" w:type="dxa"/>
          </w:tcPr>
          <w:p>
            <w:pPr>
              <w:pStyle w:val="TableParagraph"/>
              <w:spacing w:before="121"/>
              <w:ind w:left="359" w:right="311"/>
              <w:jc w:val="center"/>
              <w:rPr>
                <w:sz w:val="22"/>
              </w:rPr>
            </w:pPr>
            <w:r>
              <w:rPr>
                <w:w w:val="110"/>
                <w:sz w:val="22"/>
              </w:rPr>
              <w:t>50</w:t>
            </w:r>
          </w:p>
        </w:tc>
        <w:tc>
          <w:tcPr>
            <w:tcW w:w="1824" w:type="dxa"/>
          </w:tcPr>
          <w:p>
            <w:pPr>
              <w:pStyle w:val="TableParagraph"/>
              <w:rPr>
                <w:sz w:val="22"/>
              </w:rPr>
            </w:pPr>
          </w:p>
        </w:tc>
      </w:tr>
      <w:tr>
        <w:trPr>
          <w:trHeight w:val="498" w:hRule="atLeast"/>
        </w:trPr>
        <w:tc>
          <w:tcPr>
            <w:tcW w:w="3120" w:type="dxa"/>
          </w:tcPr>
          <w:p>
            <w:pPr>
              <w:pStyle w:val="TableParagraph"/>
              <w:spacing w:before="121"/>
              <w:ind w:left="470"/>
              <w:rPr>
                <w:sz w:val="22"/>
              </w:rPr>
            </w:pPr>
            <w:r>
              <w:rPr>
                <w:w w:val="110"/>
                <w:sz w:val="22"/>
              </w:rPr>
              <w:t>5.</w:t>
            </w:r>
          </w:p>
        </w:tc>
        <w:tc>
          <w:tcPr>
            <w:tcW w:w="1416" w:type="dxa"/>
          </w:tcPr>
          <w:p>
            <w:pPr>
              <w:pStyle w:val="TableParagraph"/>
              <w:spacing w:before="121"/>
              <w:ind w:left="297" w:right="289"/>
              <w:jc w:val="center"/>
              <w:rPr>
                <w:sz w:val="22"/>
              </w:rPr>
            </w:pPr>
            <w:r>
              <w:rPr>
                <w:w w:val="110"/>
                <w:sz w:val="22"/>
              </w:rPr>
              <w:t>19 Nov.</w:t>
            </w:r>
          </w:p>
        </w:tc>
        <w:tc>
          <w:tcPr>
            <w:tcW w:w="1560" w:type="dxa"/>
          </w:tcPr>
          <w:p>
            <w:pPr>
              <w:pStyle w:val="TableParagraph"/>
              <w:spacing w:before="121"/>
              <w:ind w:right="627"/>
              <w:jc w:val="right"/>
              <w:rPr>
                <w:sz w:val="22"/>
              </w:rPr>
            </w:pPr>
            <w:r>
              <w:rPr>
                <w:w w:val="110"/>
                <w:sz w:val="22"/>
              </w:rPr>
              <w:t>10</w:t>
            </w:r>
          </w:p>
        </w:tc>
        <w:tc>
          <w:tcPr>
            <w:tcW w:w="1560" w:type="dxa"/>
          </w:tcPr>
          <w:p>
            <w:pPr>
              <w:pStyle w:val="TableParagraph"/>
              <w:spacing w:before="121"/>
              <w:ind w:left="359" w:right="311"/>
              <w:jc w:val="center"/>
              <w:rPr>
                <w:sz w:val="22"/>
              </w:rPr>
            </w:pPr>
            <w:r>
              <w:rPr>
                <w:w w:val="110"/>
                <w:sz w:val="22"/>
              </w:rPr>
              <w:t>60</w:t>
            </w:r>
          </w:p>
        </w:tc>
        <w:tc>
          <w:tcPr>
            <w:tcW w:w="1824" w:type="dxa"/>
          </w:tcPr>
          <w:p>
            <w:pPr>
              <w:pStyle w:val="TableParagraph"/>
              <w:rPr>
                <w:sz w:val="22"/>
              </w:rPr>
            </w:pPr>
          </w:p>
        </w:tc>
      </w:tr>
      <w:tr>
        <w:trPr>
          <w:trHeight w:val="498" w:hRule="atLeast"/>
        </w:trPr>
        <w:tc>
          <w:tcPr>
            <w:tcW w:w="3120" w:type="dxa"/>
          </w:tcPr>
          <w:p>
            <w:pPr>
              <w:pStyle w:val="TableParagraph"/>
              <w:spacing w:before="121"/>
              <w:ind w:left="470"/>
              <w:rPr>
                <w:sz w:val="22"/>
              </w:rPr>
            </w:pPr>
            <w:r>
              <w:rPr>
                <w:w w:val="110"/>
                <w:sz w:val="22"/>
              </w:rPr>
              <w:t>6.</w:t>
            </w:r>
          </w:p>
        </w:tc>
        <w:tc>
          <w:tcPr>
            <w:tcW w:w="1416" w:type="dxa"/>
          </w:tcPr>
          <w:p>
            <w:pPr>
              <w:pStyle w:val="TableParagraph"/>
              <w:spacing w:before="121"/>
              <w:ind w:left="297" w:right="289"/>
              <w:jc w:val="center"/>
              <w:rPr>
                <w:sz w:val="22"/>
              </w:rPr>
            </w:pPr>
            <w:r>
              <w:rPr>
                <w:w w:val="110"/>
                <w:sz w:val="22"/>
              </w:rPr>
              <w:t>20 Nov.</w:t>
            </w:r>
          </w:p>
        </w:tc>
        <w:tc>
          <w:tcPr>
            <w:tcW w:w="1560" w:type="dxa"/>
          </w:tcPr>
          <w:p>
            <w:pPr>
              <w:pStyle w:val="TableParagraph"/>
              <w:spacing w:before="121"/>
              <w:ind w:right="627"/>
              <w:jc w:val="right"/>
              <w:rPr>
                <w:sz w:val="22"/>
              </w:rPr>
            </w:pPr>
            <w:r>
              <w:rPr>
                <w:w w:val="110"/>
                <w:sz w:val="22"/>
              </w:rPr>
              <w:t>20</w:t>
            </w:r>
          </w:p>
        </w:tc>
        <w:tc>
          <w:tcPr>
            <w:tcW w:w="1560" w:type="dxa"/>
          </w:tcPr>
          <w:p>
            <w:pPr>
              <w:pStyle w:val="TableParagraph"/>
              <w:spacing w:before="121"/>
              <w:ind w:left="359" w:right="311"/>
              <w:jc w:val="center"/>
              <w:rPr>
                <w:sz w:val="22"/>
              </w:rPr>
            </w:pPr>
            <w:r>
              <w:rPr>
                <w:w w:val="110"/>
                <w:sz w:val="22"/>
              </w:rPr>
              <w:t>80</w:t>
            </w:r>
          </w:p>
        </w:tc>
        <w:tc>
          <w:tcPr>
            <w:tcW w:w="1824" w:type="dxa"/>
          </w:tcPr>
          <w:p>
            <w:pPr>
              <w:pStyle w:val="TableParagraph"/>
              <w:rPr>
                <w:sz w:val="22"/>
              </w:rPr>
            </w:pPr>
          </w:p>
        </w:tc>
      </w:tr>
      <w:tr>
        <w:trPr>
          <w:trHeight w:val="501" w:hRule="atLeast"/>
        </w:trPr>
        <w:tc>
          <w:tcPr>
            <w:tcW w:w="3120" w:type="dxa"/>
          </w:tcPr>
          <w:p>
            <w:pPr>
              <w:pStyle w:val="TableParagraph"/>
              <w:spacing w:before="123"/>
              <w:ind w:left="470"/>
              <w:rPr>
                <w:sz w:val="22"/>
              </w:rPr>
            </w:pPr>
            <w:r>
              <w:rPr>
                <w:w w:val="110"/>
                <w:sz w:val="22"/>
              </w:rPr>
              <w:t>7.</w:t>
            </w:r>
          </w:p>
        </w:tc>
        <w:tc>
          <w:tcPr>
            <w:tcW w:w="1416" w:type="dxa"/>
          </w:tcPr>
          <w:p>
            <w:pPr>
              <w:pStyle w:val="TableParagraph"/>
              <w:spacing w:before="123"/>
              <w:ind w:left="297" w:right="289"/>
              <w:jc w:val="center"/>
              <w:rPr>
                <w:sz w:val="22"/>
              </w:rPr>
            </w:pPr>
            <w:r>
              <w:rPr>
                <w:w w:val="110"/>
                <w:sz w:val="22"/>
              </w:rPr>
              <w:t>21 Nov.</w:t>
            </w:r>
          </w:p>
        </w:tc>
        <w:tc>
          <w:tcPr>
            <w:tcW w:w="1560" w:type="dxa"/>
          </w:tcPr>
          <w:p>
            <w:pPr>
              <w:pStyle w:val="TableParagraph"/>
              <w:spacing w:before="123"/>
              <w:ind w:right="627"/>
              <w:jc w:val="right"/>
              <w:rPr>
                <w:sz w:val="22"/>
              </w:rPr>
            </w:pPr>
            <w:r>
              <w:rPr>
                <w:w w:val="110"/>
                <w:sz w:val="22"/>
              </w:rPr>
              <w:t>20</w:t>
            </w:r>
          </w:p>
        </w:tc>
        <w:tc>
          <w:tcPr>
            <w:tcW w:w="1560" w:type="dxa"/>
          </w:tcPr>
          <w:p>
            <w:pPr>
              <w:pStyle w:val="TableParagraph"/>
              <w:spacing w:before="123"/>
              <w:ind w:left="359" w:right="308"/>
              <w:jc w:val="center"/>
              <w:rPr>
                <w:sz w:val="22"/>
              </w:rPr>
            </w:pPr>
            <w:r>
              <w:rPr>
                <w:w w:val="110"/>
                <w:sz w:val="22"/>
              </w:rPr>
              <w:t>100</w:t>
            </w:r>
          </w:p>
        </w:tc>
        <w:tc>
          <w:tcPr>
            <w:tcW w:w="1824" w:type="dxa"/>
          </w:tcPr>
          <w:p>
            <w:pPr>
              <w:pStyle w:val="TableParagraph"/>
              <w:rPr>
                <w:sz w:val="22"/>
              </w:rPr>
            </w:pPr>
          </w:p>
        </w:tc>
      </w:tr>
      <w:tr>
        <w:trPr>
          <w:trHeight w:val="498" w:hRule="atLeast"/>
        </w:trPr>
        <w:tc>
          <w:tcPr>
            <w:tcW w:w="3120" w:type="dxa"/>
          </w:tcPr>
          <w:p>
            <w:pPr>
              <w:pStyle w:val="TableParagraph"/>
              <w:spacing w:before="121"/>
              <w:ind w:left="470"/>
              <w:rPr>
                <w:sz w:val="22"/>
              </w:rPr>
            </w:pPr>
            <w:r>
              <w:rPr>
                <w:w w:val="110"/>
                <w:sz w:val="22"/>
              </w:rPr>
              <w:t>8.</w:t>
            </w:r>
          </w:p>
        </w:tc>
        <w:tc>
          <w:tcPr>
            <w:tcW w:w="1416" w:type="dxa"/>
          </w:tcPr>
          <w:p>
            <w:pPr>
              <w:pStyle w:val="TableParagraph"/>
              <w:spacing w:before="121"/>
              <w:ind w:left="297" w:right="289"/>
              <w:jc w:val="center"/>
              <w:rPr>
                <w:sz w:val="22"/>
              </w:rPr>
            </w:pPr>
            <w:r>
              <w:rPr>
                <w:w w:val="110"/>
                <w:sz w:val="22"/>
              </w:rPr>
              <w:t>22 Nov.</w:t>
            </w:r>
          </w:p>
        </w:tc>
        <w:tc>
          <w:tcPr>
            <w:tcW w:w="1560" w:type="dxa"/>
          </w:tcPr>
          <w:p>
            <w:pPr>
              <w:pStyle w:val="TableParagraph"/>
              <w:spacing w:before="121"/>
              <w:ind w:right="643"/>
              <w:jc w:val="right"/>
              <w:rPr>
                <w:sz w:val="22"/>
              </w:rPr>
            </w:pPr>
            <w:r>
              <w:rPr>
                <w:w w:val="110"/>
                <w:sz w:val="22"/>
              </w:rPr>
              <w:t>30</w:t>
            </w:r>
          </w:p>
        </w:tc>
        <w:tc>
          <w:tcPr>
            <w:tcW w:w="1560" w:type="dxa"/>
          </w:tcPr>
          <w:p>
            <w:pPr>
              <w:pStyle w:val="TableParagraph"/>
              <w:spacing w:before="121"/>
              <w:ind w:left="353" w:right="342"/>
              <w:jc w:val="center"/>
              <w:rPr>
                <w:sz w:val="22"/>
              </w:rPr>
            </w:pPr>
            <w:r>
              <w:rPr>
                <w:w w:val="110"/>
                <w:sz w:val="22"/>
              </w:rPr>
              <w:t>130</w:t>
            </w:r>
          </w:p>
        </w:tc>
        <w:tc>
          <w:tcPr>
            <w:tcW w:w="1824" w:type="dxa"/>
          </w:tcPr>
          <w:p>
            <w:pPr>
              <w:pStyle w:val="TableParagraph"/>
              <w:rPr>
                <w:sz w:val="22"/>
              </w:rPr>
            </w:pPr>
          </w:p>
        </w:tc>
      </w:tr>
      <w:tr>
        <w:trPr>
          <w:trHeight w:val="498" w:hRule="atLeast"/>
        </w:trPr>
        <w:tc>
          <w:tcPr>
            <w:tcW w:w="3120" w:type="dxa"/>
          </w:tcPr>
          <w:p>
            <w:pPr>
              <w:pStyle w:val="TableParagraph"/>
              <w:spacing w:before="121"/>
              <w:ind w:left="470"/>
              <w:rPr>
                <w:sz w:val="22"/>
              </w:rPr>
            </w:pPr>
            <w:r>
              <w:rPr>
                <w:w w:val="110"/>
                <w:sz w:val="22"/>
              </w:rPr>
              <w:t>9.</w:t>
            </w:r>
          </w:p>
        </w:tc>
        <w:tc>
          <w:tcPr>
            <w:tcW w:w="1416" w:type="dxa"/>
          </w:tcPr>
          <w:p>
            <w:pPr>
              <w:pStyle w:val="TableParagraph"/>
              <w:rPr>
                <w:sz w:val="22"/>
              </w:rPr>
            </w:pPr>
          </w:p>
        </w:tc>
        <w:tc>
          <w:tcPr>
            <w:tcW w:w="1560" w:type="dxa"/>
          </w:tcPr>
          <w:p>
            <w:pPr>
              <w:pStyle w:val="TableParagraph"/>
              <w:rPr>
                <w:sz w:val="22"/>
              </w:rPr>
            </w:pPr>
          </w:p>
        </w:tc>
        <w:tc>
          <w:tcPr>
            <w:tcW w:w="1560" w:type="dxa"/>
          </w:tcPr>
          <w:p>
            <w:pPr>
              <w:pStyle w:val="TableParagraph"/>
              <w:rPr>
                <w:sz w:val="22"/>
              </w:rPr>
            </w:pPr>
          </w:p>
        </w:tc>
        <w:tc>
          <w:tcPr>
            <w:tcW w:w="1824" w:type="dxa"/>
          </w:tcPr>
          <w:p>
            <w:pPr>
              <w:pStyle w:val="TableParagraph"/>
              <w:rPr>
                <w:sz w:val="22"/>
              </w:rPr>
            </w:pPr>
          </w:p>
        </w:tc>
      </w:tr>
      <w:tr>
        <w:trPr>
          <w:trHeight w:val="501" w:hRule="atLeast"/>
        </w:trPr>
        <w:tc>
          <w:tcPr>
            <w:tcW w:w="3120" w:type="dxa"/>
          </w:tcPr>
          <w:p>
            <w:pPr>
              <w:pStyle w:val="TableParagraph"/>
              <w:spacing w:before="121"/>
              <w:ind w:left="470"/>
              <w:rPr>
                <w:sz w:val="22"/>
              </w:rPr>
            </w:pPr>
            <w:r>
              <w:rPr>
                <w:w w:val="110"/>
                <w:sz w:val="22"/>
              </w:rPr>
              <w:t>10.</w:t>
            </w:r>
          </w:p>
        </w:tc>
        <w:tc>
          <w:tcPr>
            <w:tcW w:w="1416" w:type="dxa"/>
          </w:tcPr>
          <w:p>
            <w:pPr>
              <w:pStyle w:val="TableParagraph"/>
              <w:rPr>
                <w:sz w:val="22"/>
              </w:rPr>
            </w:pPr>
          </w:p>
        </w:tc>
        <w:tc>
          <w:tcPr>
            <w:tcW w:w="1560" w:type="dxa"/>
          </w:tcPr>
          <w:p>
            <w:pPr>
              <w:pStyle w:val="TableParagraph"/>
              <w:rPr>
                <w:sz w:val="22"/>
              </w:rPr>
            </w:pPr>
          </w:p>
        </w:tc>
        <w:tc>
          <w:tcPr>
            <w:tcW w:w="1560" w:type="dxa"/>
          </w:tcPr>
          <w:p>
            <w:pPr>
              <w:pStyle w:val="TableParagraph"/>
              <w:rPr>
                <w:sz w:val="22"/>
              </w:rPr>
            </w:pPr>
          </w:p>
        </w:tc>
        <w:tc>
          <w:tcPr>
            <w:tcW w:w="1824" w:type="dxa"/>
          </w:tcPr>
          <w:p>
            <w:pPr>
              <w:pStyle w:val="TableParagraph"/>
              <w:rPr>
                <w:sz w:val="22"/>
              </w:rPr>
            </w:pPr>
          </w:p>
        </w:tc>
      </w:tr>
      <w:tr>
        <w:trPr>
          <w:trHeight w:val="498" w:hRule="atLeast"/>
        </w:trPr>
        <w:tc>
          <w:tcPr>
            <w:tcW w:w="3120" w:type="dxa"/>
          </w:tcPr>
          <w:p>
            <w:pPr>
              <w:pStyle w:val="TableParagraph"/>
              <w:spacing w:before="121"/>
              <w:ind w:left="470"/>
              <w:rPr>
                <w:sz w:val="22"/>
              </w:rPr>
            </w:pPr>
            <w:r>
              <w:rPr>
                <w:w w:val="110"/>
                <w:sz w:val="22"/>
              </w:rPr>
              <w:t>11.</w:t>
            </w:r>
          </w:p>
        </w:tc>
        <w:tc>
          <w:tcPr>
            <w:tcW w:w="1416" w:type="dxa"/>
          </w:tcPr>
          <w:p>
            <w:pPr>
              <w:pStyle w:val="TableParagraph"/>
              <w:rPr>
                <w:sz w:val="22"/>
              </w:rPr>
            </w:pPr>
          </w:p>
        </w:tc>
        <w:tc>
          <w:tcPr>
            <w:tcW w:w="1560" w:type="dxa"/>
          </w:tcPr>
          <w:p>
            <w:pPr>
              <w:pStyle w:val="TableParagraph"/>
              <w:rPr>
                <w:sz w:val="22"/>
              </w:rPr>
            </w:pPr>
          </w:p>
        </w:tc>
        <w:tc>
          <w:tcPr>
            <w:tcW w:w="1560" w:type="dxa"/>
          </w:tcPr>
          <w:p>
            <w:pPr>
              <w:pStyle w:val="TableParagraph"/>
              <w:rPr>
                <w:sz w:val="22"/>
              </w:rPr>
            </w:pPr>
          </w:p>
        </w:tc>
        <w:tc>
          <w:tcPr>
            <w:tcW w:w="1824" w:type="dxa"/>
          </w:tcPr>
          <w:p>
            <w:pPr>
              <w:pStyle w:val="TableParagraph"/>
              <w:rPr>
                <w:sz w:val="22"/>
              </w:rPr>
            </w:pPr>
          </w:p>
        </w:tc>
      </w:tr>
      <w:tr>
        <w:trPr>
          <w:trHeight w:val="498" w:hRule="atLeast"/>
        </w:trPr>
        <w:tc>
          <w:tcPr>
            <w:tcW w:w="3120" w:type="dxa"/>
          </w:tcPr>
          <w:p>
            <w:pPr>
              <w:pStyle w:val="TableParagraph"/>
              <w:spacing w:before="121"/>
              <w:ind w:left="470"/>
              <w:rPr>
                <w:sz w:val="22"/>
              </w:rPr>
            </w:pPr>
            <w:r>
              <w:rPr>
                <w:w w:val="110"/>
                <w:sz w:val="22"/>
              </w:rPr>
              <w:t>12.</w:t>
            </w:r>
          </w:p>
        </w:tc>
        <w:tc>
          <w:tcPr>
            <w:tcW w:w="1416" w:type="dxa"/>
          </w:tcPr>
          <w:p>
            <w:pPr>
              <w:pStyle w:val="TableParagraph"/>
              <w:rPr>
                <w:sz w:val="22"/>
              </w:rPr>
            </w:pPr>
          </w:p>
        </w:tc>
        <w:tc>
          <w:tcPr>
            <w:tcW w:w="1560" w:type="dxa"/>
          </w:tcPr>
          <w:p>
            <w:pPr>
              <w:pStyle w:val="TableParagraph"/>
              <w:rPr>
                <w:sz w:val="22"/>
              </w:rPr>
            </w:pPr>
          </w:p>
        </w:tc>
        <w:tc>
          <w:tcPr>
            <w:tcW w:w="1560" w:type="dxa"/>
          </w:tcPr>
          <w:p>
            <w:pPr>
              <w:pStyle w:val="TableParagraph"/>
              <w:rPr>
                <w:sz w:val="22"/>
              </w:rPr>
            </w:pPr>
          </w:p>
        </w:tc>
        <w:tc>
          <w:tcPr>
            <w:tcW w:w="1824" w:type="dxa"/>
          </w:tcPr>
          <w:p>
            <w:pPr>
              <w:pStyle w:val="TableParagraph"/>
              <w:rPr>
                <w:sz w:val="22"/>
              </w:rPr>
            </w:pPr>
          </w:p>
        </w:tc>
      </w:tr>
      <w:tr>
        <w:trPr>
          <w:trHeight w:val="498" w:hRule="atLeast"/>
        </w:trPr>
        <w:tc>
          <w:tcPr>
            <w:tcW w:w="3120" w:type="dxa"/>
          </w:tcPr>
          <w:p>
            <w:pPr>
              <w:pStyle w:val="TableParagraph"/>
              <w:spacing w:before="121"/>
              <w:ind w:left="470"/>
              <w:rPr>
                <w:sz w:val="22"/>
              </w:rPr>
            </w:pPr>
            <w:r>
              <w:rPr>
                <w:w w:val="110"/>
                <w:sz w:val="22"/>
              </w:rPr>
              <w:t>13.</w:t>
            </w:r>
          </w:p>
        </w:tc>
        <w:tc>
          <w:tcPr>
            <w:tcW w:w="1416" w:type="dxa"/>
          </w:tcPr>
          <w:p>
            <w:pPr>
              <w:pStyle w:val="TableParagraph"/>
              <w:rPr>
                <w:sz w:val="22"/>
              </w:rPr>
            </w:pPr>
          </w:p>
        </w:tc>
        <w:tc>
          <w:tcPr>
            <w:tcW w:w="1560" w:type="dxa"/>
          </w:tcPr>
          <w:p>
            <w:pPr>
              <w:pStyle w:val="TableParagraph"/>
              <w:rPr>
                <w:sz w:val="22"/>
              </w:rPr>
            </w:pPr>
          </w:p>
        </w:tc>
        <w:tc>
          <w:tcPr>
            <w:tcW w:w="1560" w:type="dxa"/>
          </w:tcPr>
          <w:p>
            <w:pPr>
              <w:pStyle w:val="TableParagraph"/>
              <w:rPr>
                <w:sz w:val="22"/>
              </w:rPr>
            </w:pPr>
          </w:p>
        </w:tc>
        <w:tc>
          <w:tcPr>
            <w:tcW w:w="1824" w:type="dxa"/>
          </w:tcPr>
          <w:p>
            <w:pPr>
              <w:pStyle w:val="TableParagraph"/>
              <w:rPr>
                <w:sz w:val="22"/>
              </w:rPr>
            </w:pPr>
          </w:p>
        </w:tc>
      </w:tr>
      <w:tr>
        <w:trPr>
          <w:trHeight w:val="501" w:hRule="atLeast"/>
        </w:trPr>
        <w:tc>
          <w:tcPr>
            <w:tcW w:w="3120" w:type="dxa"/>
          </w:tcPr>
          <w:p>
            <w:pPr>
              <w:pStyle w:val="TableParagraph"/>
              <w:spacing w:before="123"/>
              <w:ind w:left="470"/>
              <w:rPr>
                <w:sz w:val="22"/>
              </w:rPr>
            </w:pPr>
            <w:r>
              <w:rPr>
                <w:w w:val="110"/>
                <w:sz w:val="22"/>
              </w:rPr>
              <w:t>14.</w:t>
            </w:r>
          </w:p>
        </w:tc>
        <w:tc>
          <w:tcPr>
            <w:tcW w:w="1416" w:type="dxa"/>
          </w:tcPr>
          <w:p>
            <w:pPr>
              <w:pStyle w:val="TableParagraph"/>
              <w:rPr>
                <w:sz w:val="22"/>
              </w:rPr>
            </w:pPr>
          </w:p>
        </w:tc>
        <w:tc>
          <w:tcPr>
            <w:tcW w:w="1560" w:type="dxa"/>
          </w:tcPr>
          <w:p>
            <w:pPr>
              <w:pStyle w:val="TableParagraph"/>
              <w:rPr>
                <w:sz w:val="22"/>
              </w:rPr>
            </w:pPr>
          </w:p>
        </w:tc>
        <w:tc>
          <w:tcPr>
            <w:tcW w:w="1560" w:type="dxa"/>
          </w:tcPr>
          <w:p>
            <w:pPr>
              <w:pStyle w:val="TableParagraph"/>
              <w:rPr>
                <w:sz w:val="22"/>
              </w:rPr>
            </w:pPr>
          </w:p>
        </w:tc>
        <w:tc>
          <w:tcPr>
            <w:tcW w:w="1824" w:type="dxa"/>
          </w:tcPr>
          <w:p>
            <w:pPr>
              <w:pStyle w:val="TableParagraph"/>
              <w:rPr>
                <w:sz w:val="22"/>
              </w:rPr>
            </w:pPr>
          </w:p>
        </w:tc>
      </w:tr>
      <w:tr>
        <w:trPr>
          <w:trHeight w:val="498" w:hRule="atLeast"/>
        </w:trPr>
        <w:tc>
          <w:tcPr>
            <w:tcW w:w="3120" w:type="dxa"/>
          </w:tcPr>
          <w:p>
            <w:pPr>
              <w:pStyle w:val="TableParagraph"/>
              <w:spacing w:before="121"/>
              <w:ind w:left="470"/>
              <w:rPr>
                <w:sz w:val="22"/>
              </w:rPr>
            </w:pPr>
            <w:r>
              <w:rPr>
                <w:w w:val="110"/>
                <w:sz w:val="22"/>
              </w:rPr>
              <w:t>15.</w:t>
            </w:r>
          </w:p>
        </w:tc>
        <w:tc>
          <w:tcPr>
            <w:tcW w:w="1416" w:type="dxa"/>
          </w:tcPr>
          <w:p>
            <w:pPr>
              <w:pStyle w:val="TableParagraph"/>
              <w:rPr>
                <w:sz w:val="22"/>
              </w:rPr>
            </w:pPr>
          </w:p>
        </w:tc>
        <w:tc>
          <w:tcPr>
            <w:tcW w:w="1560" w:type="dxa"/>
          </w:tcPr>
          <w:p>
            <w:pPr>
              <w:pStyle w:val="TableParagraph"/>
              <w:rPr>
                <w:sz w:val="22"/>
              </w:rPr>
            </w:pPr>
          </w:p>
        </w:tc>
        <w:tc>
          <w:tcPr>
            <w:tcW w:w="1560" w:type="dxa"/>
          </w:tcPr>
          <w:p>
            <w:pPr>
              <w:pStyle w:val="TableParagraph"/>
              <w:rPr>
                <w:sz w:val="22"/>
              </w:rPr>
            </w:pPr>
          </w:p>
        </w:tc>
        <w:tc>
          <w:tcPr>
            <w:tcW w:w="1824" w:type="dxa"/>
          </w:tcPr>
          <w:p>
            <w:pPr>
              <w:pStyle w:val="TableParagraph"/>
              <w:rPr>
                <w:sz w:val="22"/>
              </w:rPr>
            </w:pPr>
          </w:p>
        </w:tc>
      </w:tr>
      <w:tr>
        <w:trPr>
          <w:trHeight w:val="498" w:hRule="atLeast"/>
        </w:trPr>
        <w:tc>
          <w:tcPr>
            <w:tcW w:w="3120" w:type="dxa"/>
          </w:tcPr>
          <w:p>
            <w:pPr>
              <w:pStyle w:val="TableParagraph"/>
              <w:spacing w:before="121"/>
              <w:ind w:left="470"/>
              <w:rPr>
                <w:sz w:val="22"/>
              </w:rPr>
            </w:pPr>
            <w:r>
              <w:rPr>
                <w:w w:val="110"/>
                <w:sz w:val="22"/>
              </w:rPr>
              <w:t>16.</w:t>
            </w:r>
          </w:p>
        </w:tc>
        <w:tc>
          <w:tcPr>
            <w:tcW w:w="1416" w:type="dxa"/>
          </w:tcPr>
          <w:p>
            <w:pPr>
              <w:pStyle w:val="TableParagraph"/>
              <w:rPr>
                <w:sz w:val="22"/>
              </w:rPr>
            </w:pPr>
          </w:p>
        </w:tc>
        <w:tc>
          <w:tcPr>
            <w:tcW w:w="1560" w:type="dxa"/>
          </w:tcPr>
          <w:p>
            <w:pPr>
              <w:pStyle w:val="TableParagraph"/>
              <w:rPr>
                <w:sz w:val="22"/>
              </w:rPr>
            </w:pPr>
          </w:p>
        </w:tc>
        <w:tc>
          <w:tcPr>
            <w:tcW w:w="1560" w:type="dxa"/>
          </w:tcPr>
          <w:p>
            <w:pPr>
              <w:pStyle w:val="TableParagraph"/>
              <w:rPr>
                <w:sz w:val="22"/>
              </w:rPr>
            </w:pPr>
          </w:p>
        </w:tc>
        <w:tc>
          <w:tcPr>
            <w:tcW w:w="1824" w:type="dxa"/>
          </w:tcPr>
          <w:p>
            <w:pPr>
              <w:pStyle w:val="TableParagraph"/>
              <w:rPr>
                <w:sz w:val="22"/>
              </w:rPr>
            </w:pPr>
          </w:p>
        </w:tc>
      </w:tr>
      <w:tr>
        <w:trPr>
          <w:trHeight w:val="501" w:hRule="atLeast"/>
        </w:trPr>
        <w:tc>
          <w:tcPr>
            <w:tcW w:w="3120" w:type="dxa"/>
          </w:tcPr>
          <w:p>
            <w:pPr>
              <w:pStyle w:val="TableParagraph"/>
              <w:spacing w:before="121"/>
              <w:ind w:left="470"/>
              <w:rPr>
                <w:sz w:val="22"/>
              </w:rPr>
            </w:pPr>
            <w:r>
              <w:rPr>
                <w:w w:val="110"/>
                <w:sz w:val="22"/>
              </w:rPr>
              <w:t>17.</w:t>
            </w:r>
          </w:p>
        </w:tc>
        <w:tc>
          <w:tcPr>
            <w:tcW w:w="1416" w:type="dxa"/>
          </w:tcPr>
          <w:p>
            <w:pPr>
              <w:pStyle w:val="TableParagraph"/>
              <w:rPr>
                <w:sz w:val="22"/>
              </w:rPr>
            </w:pPr>
          </w:p>
        </w:tc>
        <w:tc>
          <w:tcPr>
            <w:tcW w:w="1560" w:type="dxa"/>
          </w:tcPr>
          <w:p>
            <w:pPr>
              <w:pStyle w:val="TableParagraph"/>
              <w:rPr>
                <w:sz w:val="22"/>
              </w:rPr>
            </w:pPr>
          </w:p>
        </w:tc>
        <w:tc>
          <w:tcPr>
            <w:tcW w:w="1560" w:type="dxa"/>
          </w:tcPr>
          <w:p>
            <w:pPr>
              <w:pStyle w:val="TableParagraph"/>
              <w:rPr>
                <w:sz w:val="22"/>
              </w:rPr>
            </w:pPr>
          </w:p>
        </w:tc>
        <w:tc>
          <w:tcPr>
            <w:tcW w:w="1824" w:type="dxa"/>
          </w:tcPr>
          <w:p>
            <w:pPr>
              <w:pStyle w:val="TableParagraph"/>
              <w:rPr>
                <w:sz w:val="22"/>
              </w:rPr>
            </w:pPr>
          </w:p>
        </w:tc>
      </w:tr>
      <w:tr>
        <w:trPr>
          <w:trHeight w:val="498" w:hRule="atLeast"/>
        </w:trPr>
        <w:tc>
          <w:tcPr>
            <w:tcW w:w="3120" w:type="dxa"/>
          </w:tcPr>
          <w:p>
            <w:pPr>
              <w:pStyle w:val="TableParagraph"/>
              <w:spacing w:before="121"/>
              <w:ind w:left="470"/>
              <w:rPr>
                <w:sz w:val="22"/>
              </w:rPr>
            </w:pPr>
            <w:r>
              <w:rPr>
                <w:w w:val="110"/>
                <w:sz w:val="22"/>
              </w:rPr>
              <w:t>18.</w:t>
            </w:r>
          </w:p>
        </w:tc>
        <w:tc>
          <w:tcPr>
            <w:tcW w:w="1416" w:type="dxa"/>
          </w:tcPr>
          <w:p>
            <w:pPr>
              <w:pStyle w:val="TableParagraph"/>
              <w:rPr>
                <w:sz w:val="22"/>
              </w:rPr>
            </w:pPr>
          </w:p>
        </w:tc>
        <w:tc>
          <w:tcPr>
            <w:tcW w:w="1560" w:type="dxa"/>
          </w:tcPr>
          <w:p>
            <w:pPr>
              <w:pStyle w:val="TableParagraph"/>
              <w:rPr>
                <w:sz w:val="22"/>
              </w:rPr>
            </w:pPr>
          </w:p>
        </w:tc>
        <w:tc>
          <w:tcPr>
            <w:tcW w:w="1560" w:type="dxa"/>
          </w:tcPr>
          <w:p>
            <w:pPr>
              <w:pStyle w:val="TableParagraph"/>
              <w:rPr>
                <w:sz w:val="22"/>
              </w:rPr>
            </w:pPr>
          </w:p>
        </w:tc>
        <w:tc>
          <w:tcPr>
            <w:tcW w:w="1824" w:type="dxa"/>
          </w:tcPr>
          <w:p>
            <w:pPr>
              <w:pStyle w:val="TableParagraph"/>
              <w:rPr>
                <w:sz w:val="22"/>
              </w:rPr>
            </w:pPr>
          </w:p>
        </w:tc>
      </w:tr>
      <w:tr>
        <w:trPr>
          <w:trHeight w:val="498" w:hRule="atLeast"/>
        </w:trPr>
        <w:tc>
          <w:tcPr>
            <w:tcW w:w="3120" w:type="dxa"/>
          </w:tcPr>
          <w:p>
            <w:pPr>
              <w:pStyle w:val="TableParagraph"/>
              <w:spacing w:before="121"/>
              <w:ind w:left="470"/>
              <w:rPr>
                <w:sz w:val="22"/>
              </w:rPr>
            </w:pPr>
            <w:r>
              <w:rPr>
                <w:w w:val="110"/>
                <w:sz w:val="22"/>
              </w:rPr>
              <w:t>19.</w:t>
            </w:r>
          </w:p>
        </w:tc>
        <w:tc>
          <w:tcPr>
            <w:tcW w:w="1416" w:type="dxa"/>
          </w:tcPr>
          <w:p>
            <w:pPr>
              <w:pStyle w:val="TableParagraph"/>
              <w:rPr>
                <w:sz w:val="22"/>
              </w:rPr>
            </w:pPr>
          </w:p>
        </w:tc>
        <w:tc>
          <w:tcPr>
            <w:tcW w:w="1560" w:type="dxa"/>
          </w:tcPr>
          <w:p>
            <w:pPr>
              <w:pStyle w:val="TableParagraph"/>
              <w:rPr>
                <w:sz w:val="22"/>
              </w:rPr>
            </w:pPr>
          </w:p>
        </w:tc>
        <w:tc>
          <w:tcPr>
            <w:tcW w:w="1560" w:type="dxa"/>
          </w:tcPr>
          <w:p>
            <w:pPr>
              <w:pStyle w:val="TableParagraph"/>
              <w:rPr>
                <w:sz w:val="22"/>
              </w:rPr>
            </w:pPr>
          </w:p>
        </w:tc>
        <w:tc>
          <w:tcPr>
            <w:tcW w:w="1824" w:type="dxa"/>
          </w:tcPr>
          <w:p>
            <w:pPr>
              <w:pStyle w:val="TableParagraph"/>
              <w:rPr>
                <w:sz w:val="22"/>
              </w:rPr>
            </w:pPr>
          </w:p>
        </w:tc>
      </w:tr>
      <w:tr>
        <w:trPr>
          <w:trHeight w:val="501" w:hRule="atLeast"/>
        </w:trPr>
        <w:tc>
          <w:tcPr>
            <w:tcW w:w="3120" w:type="dxa"/>
          </w:tcPr>
          <w:p>
            <w:pPr>
              <w:pStyle w:val="TableParagraph"/>
              <w:spacing w:before="121"/>
              <w:ind w:left="470"/>
              <w:rPr>
                <w:sz w:val="22"/>
              </w:rPr>
            </w:pPr>
            <w:r>
              <w:rPr>
                <w:w w:val="110"/>
                <w:sz w:val="22"/>
              </w:rPr>
              <w:t>20.</w:t>
            </w:r>
          </w:p>
        </w:tc>
        <w:tc>
          <w:tcPr>
            <w:tcW w:w="1416" w:type="dxa"/>
          </w:tcPr>
          <w:p>
            <w:pPr>
              <w:pStyle w:val="TableParagraph"/>
              <w:rPr>
                <w:sz w:val="22"/>
              </w:rPr>
            </w:pPr>
          </w:p>
        </w:tc>
        <w:tc>
          <w:tcPr>
            <w:tcW w:w="1560" w:type="dxa"/>
          </w:tcPr>
          <w:p>
            <w:pPr>
              <w:pStyle w:val="TableParagraph"/>
              <w:rPr>
                <w:sz w:val="22"/>
              </w:rPr>
            </w:pPr>
          </w:p>
        </w:tc>
        <w:tc>
          <w:tcPr>
            <w:tcW w:w="1560" w:type="dxa"/>
          </w:tcPr>
          <w:p>
            <w:pPr>
              <w:pStyle w:val="TableParagraph"/>
              <w:rPr>
                <w:sz w:val="22"/>
              </w:rPr>
            </w:pPr>
          </w:p>
        </w:tc>
        <w:tc>
          <w:tcPr>
            <w:tcW w:w="1824" w:type="dxa"/>
          </w:tcPr>
          <w:p>
            <w:pPr>
              <w:pStyle w:val="TableParagraph"/>
              <w:rPr>
                <w:sz w:val="22"/>
              </w:rPr>
            </w:pPr>
          </w:p>
        </w:tc>
      </w:tr>
    </w:tbl>
    <w:p>
      <w:pPr>
        <w:pStyle w:val="BodyText"/>
      </w:pPr>
    </w:p>
    <w:p>
      <w:pPr>
        <w:pStyle w:val="BodyText"/>
        <w:ind w:left="392"/>
      </w:pPr>
      <w:r>
        <w:rPr>
          <w:w w:val="120"/>
        </w:rPr>
        <w:t>Panel leader needs to give a completed copy of this page to their NAF at the benchmarking meeting.</w:t>
      </w:r>
    </w:p>
    <w:p>
      <w:pPr>
        <w:spacing w:after="0"/>
        <w:sectPr>
          <w:pgSz w:w="11910" w:h="16840"/>
          <w:pgMar w:header="0" w:footer="297" w:top="760" w:bottom="480" w:left="740" w:right="580"/>
        </w:sectPr>
      </w:pPr>
    </w:p>
    <w:p>
      <w:pPr>
        <w:pStyle w:val="Heading2"/>
        <w:spacing w:before="65"/>
        <w:ind w:left="486"/>
      </w:pPr>
      <w:r>
        <w:rPr>
          <w:color w:val="548CD4"/>
          <w:w w:val="115"/>
        </w:rPr>
        <w:t>Appendix B: Portfolios Sent for Check Marking Form</w:t>
      </w:r>
    </w:p>
    <w:p>
      <w:pPr>
        <w:pStyle w:val="BodyText"/>
        <w:rPr>
          <w:sz w:val="20"/>
        </w:rPr>
      </w:pPr>
    </w:p>
    <w:p>
      <w:pPr>
        <w:pStyle w:val="BodyText"/>
        <w:spacing w:before="6"/>
        <w:rPr>
          <w:sz w:val="11"/>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7"/>
        <w:gridCol w:w="1123"/>
        <w:gridCol w:w="1097"/>
        <w:gridCol w:w="283"/>
        <w:gridCol w:w="1133"/>
        <w:gridCol w:w="1133"/>
        <w:gridCol w:w="3675"/>
      </w:tblGrid>
      <w:tr>
        <w:trPr>
          <w:trHeight w:val="494" w:hRule="atLeast"/>
        </w:trPr>
        <w:tc>
          <w:tcPr>
            <w:tcW w:w="10191" w:type="dxa"/>
            <w:gridSpan w:val="7"/>
            <w:shd w:val="clear" w:color="auto" w:fill="B8CCE4"/>
          </w:tcPr>
          <w:p>
            <w:pPr>
              <w:pStyle w:val="TableParagraph"/>
              <w:spacing w:before="121"/>
              <w:ind w:left="107"/>
              <w:rPr>
                <w:sz w:val="22"/>
              </w:rPr>
            </w:pPr>
            <w:r>
              <w:rPr>
                <w:w w:val="110"/>
                <w:sz w:val="22"/>
              </w:rPr>
              <w:t>Use this form to record and track portfolios sent for check marking.</w:t>
            </w:r>
          </w:p>
        </w:tc>
      </w:tr>
      <w:tr>
        <w:trPr>
          <w:trHeight w:val="491" w:hRule="atLeast"/>
        </w:trPr>
        <w:tc>
          <w:tcPr>
            <w:tcW w:w="4250" w:type="dxa"/>
            <w:gridSpan w:val="4"/>
          </w:tcPr>
          <w:p>
            <w:pPr>
              <w:pStyle w:val="TableParagraph"/>
              <w:spacing w:before="121"/>
              <w:ind w:left="107"/>
              <w:rPr>
                <w:sz w:val="22"/>
              </w:rPr>
            </w:pPr>
            <w:r>
              <w:rPr>
                <w:w w:val="120"/>
                <w:sz w:val="22"/>
              </w:rPr>
              <w:t>Marker Code:</w:t>
            </w:r>
          </w:p>
        </w:tc>
        <w:tc>
          <w:tcPr>
            <w:tcW w:w="5941" w:type="dxa"/>
            <w:gridSpan w:val="3"/>
          </w:tcPr>
          <w:p>
            <w:pPr>
              <w:pStyle w:val="TableParagraph"/>
              <w:spacing w:before="121"/>
              <w:ind w:left="105"/>
              <w:rPr>
                <w:sz w:val="22"/>
              </w:rPr>
            </w:pPr>
            <w:r>
              <w:rPr>
                <w:w w:val="115"/>
                <w:sz w:val="22"/>
              </w:rPr>
              <w:t>Check Marker Name:</w:t>
            </w:r>
          </w:p>
        </w:tc>
      </w:tr>
      <w:tr>
        <w:trPr>
          <w:trHeight w:val="1504" w:hRule="atLeast"/>
        </w:trPr>
        <w:tc>
          <w:tcPr>
            <w:tcW w:w="1747" w:type="dxa"/>
            <w:vMerge w:val="restart"/>
            <w:shd w:val="clear" w:color="auto" w:fill="FFBF00"/>
          </w:tcPr>
          <w:p>
            <w:pPr>
              <w:pStyle w:val="TableParagraph"/>
              <w:rPr>
                <w:sz w:val="24"/>
              </w:rPr>
            </w:pPr>
          </w:p>
          <w:p>
            <w:pPr>
              <w:pStyle w:val="TableParagraph"/>
              <w:rPr>
                <w:sz w:val="24"/>
              </w:rPr>
            </w:pPr>
          </w:p>
          <w:p>
            <w:pPr>
              <w:pStyle w:val="TableParagraph"/>
              <w:spacing w:before="3"/>
              <w:rPr>
                <w:sz w:val="24"/>
              </w:rPr>
            </w:pPr>
          </w:p>
          <w:p>
            <w:pPr>
              <w:pStyle w:val="TableParagraph"/>
              <w:ind w:left="621" w:right="613"/>
              <w:jc w:val="center"/>
              <w:rPr>
                <w:sz w:val="22"/>
              </w:rPr>
            </w:pPr>
            <w:r>
              <w:rPr>
                <w:w w:val="105"/>
                <w:sz w:val="22"/>
              </w:rPr>
              <w:t>NSN</w:t>
            </w:r>
          </w:p>
        </w:tc>
        <w:tc>
          <w:tcPr>
            <w:tcW w:w="1123" w:type="dxa"/>
            <w:vMerge w:val="restart"/>
            <w:shd w:val="clear" w:color="auto" w:fill="FFBF00"/>
            <w:textDirection w:val="btLr"/>
          </w:tcPr>
          <w:p>
            <w:pPr>
              <w:pStyle w:val="TableParagraph"/>
              <w:rPr>
                <w:sz w:val="24"/>
              </w:rPr>
            </w:pPr>
          </w:p>
          <w:p>
            <w:pPr>
              <w:pStyle w:val="TableParagraph"/>
              <w:spacing w:before="159"/>
              <w:ind w:left="465"/>
              <w:rPr>
                <w:sz w:val="22"/>
              </w:rPr>
            </w:pPr>
            <w:r>
              <w:rPr>
                <w:w w:val="115"/>
                <w:sz w:val="22"/>
              </w:rPr>
              <w:t>Date Sent</w:t>
            </w:r>
          </w:p>
        </w:tc>
        <w:tc>
          <w:tcPr>
            <w:tcW w:w="1097" w:type="dxa"/>
            <w:vMerge w:val="restart"/>
            <w:shd w:val="clear" w:color="auto" w:fill="FFBF00"/>
            <w:textDirection w:val="btLr"/>
          </w:tcPr>
          <w:p>
            <w:pPr>
              <w:pStyle w:val="TableParagraph"/>
              <w:rPr>
                <w:sz w:val="24"/>
              </w:rPr>
            </w:pPr>
          </w:p>
          <w:p>
            <w:pPr>
              <w:pStyle w:val="TableParagraph"/>
              <w:spacing w:before="145"/>
              <w:ind w:left="239"/>
              <w:rPr>
                <w:sz w:val="22"/>
              </w:rPr>
            </w:pPr>
            <w:r>
              <w:rPr>
                <w:w w:val="110"/>
                <w:sz w:val="22"/>
              </w:rPr>
              <w:t>Date Returned</w:t>
            </w:r>
          </w:p>
        </w:tc>
        <w:tc>
          <w:tcPr>
            <w:tcW w:w="283" w:type="dxa"/>
            <w:vMerge w:val="restart"/>
            <w:shd w:val="clear" w:color="auto" w:fill="FFBF00"/>
          </w:tcPr>
          <w:p>
            <w:pPr>
              <w:pStyle w:val="TableParagraph"/>
              <w:rPr>
                <w:sz w:val="22"/>
              </w:rPr>
            </w:pPr>
          </w:p>
        </w:tc>
        <w:tc>
          <w:tcPr>
            <w:tcW w:w="1133" w:type="dxa"/>
            <w:vMerge w:val="restart"/>
            <w:shd w:val="clear" w:color="auto" w:fill="FFBF00"/>
            <w:textDirection w:val="btLr"/>
          </w:tcPr>
          <w:p>
            <w:pPr>
              <w:pStyle w:val="TableParagraph"/>
              <w:rPr>
                <w:sz w:val="24"/>
              </w:rPr>
            </w:pPr>
          </w:p>
          <w:p>
            <w:pPr>
              <w:pStyle w:val="TableParagraph"/>
              <w:spacing w:before="162"/>
              <w:ind w:left="222"/>
              <w:rPr>
                <w:sz w:val="22"/>
              </w:rPr>
            </w:pPr>
            <w:r>
              <w:rPr>
                <w:w w:val="115"/>
                <w:sz w:val="22"/>
              </w:rPr>
              <w:t>Marker Grades</w:t>
            </w:r>
          </w:p>
        </w:tc>
        <w:tc>
          <w:tcPr>
            <w:tcW w:w="1133" w:type="dxa"/>
            <w:vMerge w:val="restart"/>
            <w:shd w:val="clear" w:color="auto" w:fill="FFBF00"/>
            <w:textDirection w:val="btLr"/>
          </w:tcPr>
          <w:p>
            <w:pPr>
              <w:pStyle w:val="TableParagraph"/>
              <w:rPr>
                <w:sz w:val="24"/>
              </w:rPr>
            </w:pPr>
          </w:p>
          <w:p>
            <w:pPr>
              <w:pStyle w:val="TableParagraph"/>
              <w:spacing w:before="162"/>
              <w:ind w:left="393"/>
              <w:rPr>
                <w:sz w:val="22"/>
              </w:rPr>
            </w:pPr>
            <w:r>
              <w:rPr>
                <w:w w:val="115"/>
                <w:sz w:val="22"/>
              </w:rPr>
              <w:t>CM Grades</w:t>
            </w:r>
          </w:p>
        </w:tc>
        <w:tc>
          <w:tcPr>
            <w:tcW w:w="3675" w:type="dxa"/>
          </w:tcPr>
          <w:p>
            <w:pPr>
              <w:pStyle w:val="TableParagraph"/>
              <w:rPr>
                <w:sz w:val="24"/>
              </w:rPr>
            </w:pPr>
          </w:p>
          <w:p>
            <w:pPr>
              <w:pStyle w:val="TableParagraph"/>
              <w:rPr>
                <w:sz w:val="19"/>
              </w:rPr>
            </w:pPr>
          </w:p>
          <w:p>
            <w:pPr>
              <w:pStyle w:val="TableParagraph"/>
              <w:ind w:left="1614" w:hanging="1292"/>
              <w:rPr>
                <w:sz w:val="22"/>
              </w:rPr>
            </w:pPr>
            <w:r>
              <w:rPr>
                <w:w w:val="110"/>
                <w:sz w:val="22"/>
              </w:rPr>
              <w:t>Attach courier customer sticker here</w:t>
            </w:r>
          </w:p>
        </w:tc>
      </w:tr>
      <w:tr>
        <w:trPr>
          <w:trHeight w:val="397" w:hRule="atLeast"/>
        </w:trPr>
        <w:tc>
          <w:tcPr>
            <w:tcW w:w="1747" w:type="dxa"/>
            <w:vMerge/>
            <w:tcBorders>
              <w:top w:val="nil"/>
            </w:tcBorders>
            <w:shd w:val="clear" w:color="auto" w:fill="FFBF00"/>
          </w:tcPr>
          <w:p>
            <w:pPr>
              <w:rPr>
                <w:sz w:val="2"/>
                <w:szCs w:val="2"/>
              </w:rPr>
            </w:pPr>
          </w:p>
        </w:tc>
        <w:tc>
          <w:tcPr>
            <w:tcW w:w="1123" w:type="dxa"/>
            <w:vMerge/>
            <w:tcBorders>
              <w:top w:val="nil"/>
            </w:tcBorders>
            <w:shd w:val="clear" w:color="auto" w:fill="FFBF00"/>
            <w:textDirection w:val="btLr"/>
          </w:tcPr>
          <w:p>
            <w:pPr>
              <w:rPr>
                <w:sz w:val="2"/>
                <w:szCs w:val="2"/>
              </w:rPr>
            </w:pPr>
          </w:p>
        </w:tc>
        <w:tc>
          <w:tcPr>
            <w:tcW w:w="1097" w:type="dxa"/>
            <w:vMerge/>
            <w:tcBorders>
              <w:top w:val="nil"/>
            </w:tcBorders>
            <w:shd w:val="clear" w:color="auto" w:fill="FFBF00"/>
            <w:textDirection w:val="btLr"/>
          </w:tcPr>
          <w:p>
            <w:pPr>
              <w:rPr>
                <w:sz w:val="2"/>
                <w:szCs w:val="2"/>
              </w:rPr>
            </w:pPr>
          </w:p>
        </w:tc>
        <w:tc>
          <w:tcPr>
            <w:tcW w:w="283" w:type="dxa"/>
            <w:vMerge/>
            <w:tcBorders>
              <w:top w:val="nil"/>
            </w:tcBorders>
            <w:shd w:val="clear" w:color="auto" w:fill="FFBF00"/>
          </w:tcPr>
          <w:p>
            <w:pPr>
              <w:rPr>
                <w:sz w:val="2"/>
                <w:szCs w:val="2"/>
              </w:rPr>
            </w:pPr>
          </w:p>
        </w:tc>
        <w:tc>
          <w:tcPr>
            <w:tcW w:w="1133" w:type="dxa"/>
            <w:vMerge/>
            <w:tcBorders>
              <w:top w:val="nil"/>
            </w:tcBorders>
            <w:shd w:val="clear" w:color="auto" w:fill="FFBF00"/>
            <w:textDirection w:val="btLr"/>
          </w:tcPr>
          <w:p>
            <w:pPr>
              <w:rPr>
                <w:sz w:val="2"/>
                <w:szCs w:val="2"/>
              </w:rPr>
            </w:pPr>
          </w:p>
        </w:tc>
        <w:tc>
          <w:tcPr>
            <w:tcW w:w="1133" w:type="dxa"/>
            <w:vMerge/>
            <w:tcBorders>
              <w:top w:val="nil"/>
            </w:tcBorders>
            <w:shd w:val="clear" w:color="auto" w:fill="FFBF00"/>
            <w:textDirection w:val="btLr"/>
          </w:tcPr>
          <w:p>
            <w:pPr>
              <w:rPr>
                <w:sz w:val="2"/>
                <w:szCs w:val="2"/>
              </w:rPr>
            </w:pPr>
          </w:p>
        </w:tc>
        <w:tc>
          <w:tcPr>
            <w:tcW w:w="3675" w:type="dxa"/>
            <w:shd w:val="clear" w:color="auto" w:fill="FFBF00"/>
          </w:tcPr>
          <w:p>
            <w:pPr>
              <w:pStyle w:val="TableParagraph"/>
              <w:spacing w:before="63"/>
              <w:ind w:left="1266" w:right="1261"/>
              <w:jc w:val="center"/>
              <w:rPr>
                <w:sz w:val="22"/>
              </w:rPr>
            </w:pPr>
            <w:r>
              <w:rPr>
                <w:w w:val="115"/>
                <w:sz w:val="22"/>
              </w:rPr>
              <w:t>Comments</w:t>
            </w:r>
          </w:p>
        </w:tc>
      </w:tr>
      <w:tr>
        <w:trPr>
          <w:trHeight w:val="1012" w:hRule="atLeast"/>
        </w:trPr>
        <w:tc>
          <w:tcPr>
            <w:tcW w:w="1747" w:type="dxa"/>
          </w:tcPr>
          <w:p>
            <w:pPr>
              <w:pStyle w:val="TableParagraph"/>
              <w:rPr>
                <w:sz w:val="22"/>
              </w:rPr>
            </w:pPr>
          </w:p>
        </w:tc>
        <w:tc>
          <w:tcPr>
            <w:tcW w:w="1123" w:type="dxa"/>
          </w:tcPr>
          <w:p>
            <w:pPr>
              <w:pStyle w:val="TableParagraph"/>
              <w:rPr>
                <w:sz w:val="22"/>
              </w:rPr>
            </w:pPr>
          </w:p>
        </w:tc>
        <w:tc>
          <w:tcPr>
            <w:tcW w:w="1097" w:type="dxa"/>
          </w:tcPr>
          <w:p>
            <w:pPr>
              <w:pStyle w:val="TableParagraph"/>
              <w:rPr>
                <w:sz w:val="22"/>
              </w:rPr>
            </w:pPr>
          </w:p>
        </w:tc>
        <w:tc>
          <w:tcPr>
            <w:tcW w:w="283" w:type="dxa"/>
            <w:vMerge/>
            <w:tcBorders>
              <w:top w:val="nil"/>
            </w:tcBorders>
            <w:shd w:val="clear" w:color="auto" w:fill="FFBF00"/>
          </w:tcPr>
          <w:p>
            <w:pPr>
              <w:rPr>
                <w:sz w:val="2"/>
                <w:szCs w:val="2"/>
              </w:rPr>
            </w:pPr>
          </w:p>
        </w:tc>
        <w:tc>
          <w:tcPr>
            <w:tcW w:w="1133" w:type="dxa"/>
          </w:tcPr>
          <w:p>
            <w:pPr>
              <w:pStyle w:val="TableParagraph"/>
              <w:rPr>
                <w:sz w:val="22"/>
              </w:rPr>
            </w:pPr>
          </w:p>
        </w:tc>
        <w:tc>
          <w:tcPr>
            <w:tcW w:w="1133" w:type="dxa"/>
          </w:tcPr>
          <w:p>
            <w:pPr>
              <w:pStyle w:val="TableParagraph"/>
              <w:rPr>
                <w:sz w:val="22"/>
              </w:rPr>
            </w:pPr>
          </w:p>
        </w:tc>
        <w:tc>
          <w:tcPr>
            <w:tcW w:w="3675" w:type="dxa"/>
          </w:tcPr>
          <w:p>
            <w:pPr>
              <w:pStyle w:val="TableParagraph"/>
              <w:rPr>
                <w:sz w:val="22"/>
              </w:rPr>
            </w:pPr>
          </w:p>
        </w:tc>
      </w:tr>
      <w:tr>
        <w:trPr>
          <w:trHeight w:val="1012" w:hRule="atLeast"/>
        </w:trPr>
        <w:tc>
          <w:tcPr>
            <w:tcW w:w="1747" w:type="dxa"/>
          </w:tcPr>
          <w:p>
            <w:pPr>
              <w:pStyle w:val="TableParagraph"/>
              <w:rPr>
                <w:sz w:val="22"/>
              </w:rPr>
            </w:pPr>
          </w:p>
        </w:tc>
        <w:tc>
          <w:tcPr>
            <w:tcW w:w="1123" w:type="dxa"/>
          </w:tcPr>
          <w:p>
            <w:pPr>
              <w:pStyle w:val="TableParagraph"/>
              <w:rPr>
                <w:sz w:val="22"/>
              </w:rPr>
            </w:pPr>
          </w:p>
        </w:tc>
        <w:tc>
          <w:tcPr>
            <w:tcW w:w="1097" w:type="dxa"/>
          </w:tcPr>
          <w:p>
            <w:pPr>
              <w:pStyle w:val="TableParagraph"/>
              <w:rPr>
                <w:sz w:val="22"/>
              </w:rPr>
            </w:pPr>
          </w:p>
        </w:tc>
        <w:tc>
          <w:tcPr>
            <w:tcW w:w="283" w:type="dxa"/>
            <w:vMerge/>
            <w:tcBorders>
              <w:top w:val="nil"/>
            </w:tcBorders>
            <w:shd w:val="clear" w:color="auto" w:fill="FFBF00"/>
          </w:tcPr>
          <w:p>
            <w:pPr>
              <w:rPr>
                <w:sz w:val="2"/>
                <w:szCs w:val="2"/>
              </w:rPr>
            </w:pPr>
          </w:p>
        </w:tc>
        <w:tc>
          <w:tcPr>
            <w:tcW w:w="1133" w:type="dxa"/>
          </w:tcPr>
          <w:p>
            <w:pPr>
              <w:pStyle w:val="TableParagraph"/>
              <w:rPr>
                <w:sz w:val="22"/>
              </w:rPr>
            </w:pPr>
          </w:p>
        </w:tc>
        <w:tc>
          <w:tcPr>
            <w:tcW w:w="1133" w:type="dxa"/>
          </w:tcPr>
          <w:p>
            <w:pPr>
              <w:pStyle w:val="TableParagraph"/>
              <w:rPr>
                <w:sz w:val="22"/>
              </w:rPr>
            </w:pPr>
          </w:p>
        </w:tc>
        <w:tc>
          <w:tcPr>
            <w:tcW w:w="3675" w:type="dxa"/>
          </w:tcPr>
          <w:p>
            <w:pPr>
              <w:pStyle w:val="TableParagraph"/>
              <w:rPr>
                <w:sz w:val="22"/>
              </w:rPr>
            </w:pPr>
          </w:p>
        </w:tc>
      </w:tr>
      <w:tr>
        <w:trPr>
          <w:trHeight w:val="1009" w:hRule="atLeast"/>
        </w:trPr>
        <w:tc>
          <w:tcPr>
            <w:tcW w:w="1747" w:type="dxa"/>
          </w:tcPr>
          <w:p>
            <w:pPr>
              <w:pStyle w:val="TableParagraph"/>
              <w:rPr>
                <w:sz w:val="22"/>
              </w:rPr>
            </w:pPr>
          </w:p>
        </w:tc>
        <w:tc>
          <w:tcPr>
            <w:tcW w:w="1123" w:type="dxa"/>
          </w:tcPr>
          <w:p>
            <w:pPr>
              <w:pStyle w:val="TableParagraph"/>
              <w:rPr>
                <w:sz w:val="22"/>
              </w:rPr>
            </w:pPr>
          </w:p>
        </w:tc>
        <w:tc>
          <w:tcPr>
            <w:tcW w:w="1097" w:type="dxa"/>
          </w:tcPr>
          <w:p>
            <w:pPr>
              <w:pStyle w:val="TableParagraph"/>
              <w:rPr>
                <w:sz w:val="22"/>
              </w:rPr>
            </w:pPr>
          </w:p>
        </w:tc>
        <w:tc>
          <w:tcPr>
            <w:tcW w:w="283" w:type="dxa"/>
            <w:vMerge/>
            <w:tcBorders>
              <w:top w:val="nil"/>
            </w:tcBorders>
            <w:shd w:val="clear" w:color="auto" w:fill="FFBF00"/>
          </w:tcPr>
          <w:p>
            <w:pPr>
              <w:rPr>
                <w:sz w:val="2"/>
                <w:szCs w:val="2"/>
              </w:rPr>
            </w:pPr>
          </w:p>
        </w:tc>
        <w:tc>
          <w:tcPr>
            <w:tcW w:w="1133" w:type="dxa"/>
          </w:tcPr>
          <w:p>
            <w:pPr>
              <w:pStyle w:val="TableParagraph"/>
              <w:rPr>
                <w:sz w:val="22"/>
              </w:rPr>
            </w:pPr>
          </w:p>
        </w:tc>
        <w:tc>
          <w:tcPr>
            <w:tcW w:w="1133" w:type="dxa"/>
          </w:tcPr>
          <w:p>
            <w:pPr>
              <w:pStyle w:val="TableParagraph"/>
              <w:rPr>
                <w:sz w:val="22"/>
              </w:rPr>
            </w:pPr>
          </w:p>
        </w:tc>
        <w:tc>
          <w:tcPr>
            <w:tcW w:w="3675" w:type="dxa"/>
          </w:tcPr>
          <w:p>
            <w:pPr>
              <w:pStyle w:val="TableParagraph"/>
              <w:rPr>
                <w:sz w:val="22"/>
              </w:rPr>
            </w:pPr>
          </w:p>
        </w:tc>
      </w:tr>
      <w:tr>
        <w:trPr>
          <w:trHeight w:val="1012" w:hRule="atLeast"/>
        </w:trPr>
        <w:tc>
          <w:tcPr>
            <w:tcW w:w="1747" w:type="dxa"/>
          </w:tcPr>
          <w:p>
            <w:pPr>
              <w:pStyle w:val="TableParagraph"/>
              <w:rPr>
                <w:sz w:val="22"/>
              </w:rPr>
            </w:pPr>
          </w:p>
        </w:tc>
        <w:tc>
          <w:tcPr>
            <w:tcW w:w="1123" w:type="dxa"/>
          </w:tcPr>
          <w:p>
            <w:pPr>
              <w:pStyle w:val="TableParagraph"/>
              <w:rPr>
                <w:sz w:val="22"/>
              </w:rPr>
            </w:pPr>
          </w:p>
        </w:tc>
        <w:tc>
          <w:tcPr>
            <w:tcW w:w="1097" w:type="dxa"/>
          </w:tcPr>
          <w:p>
            <w:pPr>
              <w:pStyle w:val="TableParagraph"/>
              <w:rPr>
                <w:sz w:val="22"/>
              </w:rPr>
            </w:pPr>
          </w:p>
        </w:tc>
        <w:tc>
          <w:tcPr>
            <w:tcW w:w="283" w:type="dxa"/>
            <w:vMerge/>
            <w:tcBorders>
              <w:top w:val="nil"/>
            </w:tcBorders>
            <w:shd w:val="clear" w:color="auto" w:fill="FFBF00"/>
          </w:tcPr>
          <w:p>
            <w:pPr>
              <w:rPr>
                <w:sz w:val="2"/>
                <w:szCs w:val="2"/>
              </w:rPr>
            </w:pPr>
          </w:p>
        </w:tc>
        <w:tc>
          <w:tcPr>
            <w:tcW w:w="1133" w:type="dxa"/>
          </w:tcPr>
          <w:p>
            <w:pPr>
              <w:pStyle w:val="TableParagraph"/>
              <w:rPr>
                <w:sz w:val="22"/>
              </w:rPr>
            </w:pPr>
          </w:p>
        </w:tc>
        <w:tc>
          <w:tcPr>
            <w:tcW w:w="1133" w:type="dxa"/>
          </w:tcPr>
          <w:p>
            <w:pPr>
              <w:pStyle w:val="TableParagraph"/>
              <w:rPr>
                <w:sz w:val="22"/>
              </w:rPr>
            </w:pPr>
          </w:p>
        </w:tc>
        <w:tc>
          <w:tcPr>
            <w:tcW w:w="3675" w:type="dxa"/>
          </w:tcPr>
          <w:p>
            <w:pPr>
              <w:pStyle w:val="TableParagraph"/>
              <w:rPr>
                <w:sz w:val="22"/>
              </w:rPr>
            </w:pPr>
          </w:p>
        </w:tc>
      </w:tr>
      <w:tr>
        <w:trPr>
          <w:trHeight w:val="1012" w:hRule="atLeast"/>
        </w:trPr>
        <w:tc>
          <w:tcPr>
            <w:tcW w:w="1747" w:type="dxa"/>
          </w:tcPr>
          <w:p>
            <w:pPr>
              <w:pStyle w:val="TableParagraph"/>
              <w:rPr>
                <w:sz w:val="22"/>
              </w:rPr>
            </w:pPr>
          </w:p>
        </w:tc>
        <w:tc>
          <w:tcPr>
            <w:tcW w:w="1123" w:type="dxa"/>
          </w:tcPr>
          <w:p>
            <w:pPr>
              <w:pStyle w:val="TableParagraph"/>
              <w:rPr>
                <w:sz w:val="22"/>
              </w:rPr>
            </w:pPr>
          </w:p>
        </w:tc>
        <w:tc>
          <w:tcPr>
            <w:tcW w:w="1097" w:type="dxa"/>
          </w:tcPr>
          <w:p>
            <w:pPr>
              <w:pStyle w:val="TableParagraph"/>
              <w:rPr>
                <w:sz w:val="22"/>
              </w:rPr>
            </w:pPr>
          </w:p>
        </w:tc>
        <w:tc>
          <w:tcPr>
            <w:tcW w:w="283" w:type="dxa"/>
            <w:vMerge/>
            <w:tcBorders>
              <w:top w:val="nil"/>
            </w:tcBorders>
            <w:shd w:val="clear" w:color="auto" w:fill="FFBF00"/>
          </w:tcPr>
          <w:p>
            <w:pPr>
              <w:rPr>
                <w:sz w:val="2"/>
                <w:szCs w:val="2"/>
              </w:rPr>
            </w:pPr>
          </w:p>
        </w:tc>
        <w:tc>
          <w:tcPr>
            <w:tcW w:w="1133" w:type="dxa"/>
          </w:tcPr>
          <w:p>
            <w:pPr>
              <w:pStyle w:val="TableParagraph"/>
              <w:rPr>
                <w:sz w:val="22"/>
              </w:rPr>
            </w:pPr>
          </w:p>
        </w:tc>
        <w:tc>
          <w:tcPr>
            <w:tcW w:w="1133" w:type="dxa"/>
          </w:tcPr>
          <w:p>
            <w:pPr>
              <w:pStyle w:val="TableParagraph"/>
              <w:rPr>
                <w:sz w:val="22"/>
              </w:rPr>
            </w:pPr>
          </w:p>
        </w:tc>
        <w:tc>
          <w:tcPr>
            <w:tcW w:w="3675" w:type="dxa"/>
          </w:tcPr>
          <w:p>
            <w:pPr>
              <w:pStyle w:val="TableParagraph"/>
              <w:rPr>
                <w:sz w:val="22"/>
              </w:rPr>
            </w:pPr>
          </w:p>
        </w:tc>
      </w:tr>
      <w:tr>
        <w:trPr>
          <w:trHeight w:val="1012" w:hRule="atLeast"/>
        </w:trPr>
        <w:tc>
          <w:tcPr>
            <w:tcW w:w="1747" w:type="dxa"/>
          </w:tcPr>
          <w:p>
            <w:pPr>
              <w:pStyle w:val="TableParagraph"/>
              <w:rPr>
                <w:sz w:val="22"/>
              </w:rPr>
            </w:pPr>
          </w:p>
        </w:tc>
        <w:tc>
          <w:tcPr>
            <w:tcW w:w="1123" w:type="dxa"/>
          </w:tcPr>
          <w:p>
            <w:pPr>
              <w:pStyle w:val="TableParagraph"/>
              <w:rPr>
                <w:sz w:val="22"/>
              </w:rPr>
            </w:pPr>
          </w:p>
        </w:tc>
        <w:tc>
          <w:tcPr>
            <w:tcW w:w="1097" w:type="dxa"/>
          </w:tcPr>
          <w:p>
            <w:pPr>
              <w:pStyle w:val="TableParagraph"/>
              <w:rPr>
                <w:sz w:val="22"/>
              </w:rPr>
            </w:pPr>
          </w:p>
        </w:tc>
        <w:tc>
          <w:tcPr>
            <w:tcW w:w="283" w:type="dxa"/>
            <w:vMerge/>
            <w:tcBorders>
              <w:top w:val="nil"/>
            </w:tcBorders>
            <w:shd w:val="clear" w:color="auto" w:fill="FFBF00"/>
          </w:tcPr>
          <w:p>
            <w:pPr>
              <w:rPr>
                <w:sz w:val="2"/>
                <w:szCs w:val="2"/>
              </w:rPr>
            </w:pPr>
          </w:p>
        </w:tc>
        <w:tc>
          <w:tcPr>
            <w:tcW w:w="1133" w:type="dxa"/>
          </w:tcPr>
          <w:p>
            <w:pPr>
              <w:pStyle w:val="TableParagraph"/>
              <w:rPr>
                <w:sz w:val="22"/>
              </w:rPr>
            </w:pPr>
          </w:p>
        </w:tc>
        <w:tc>
          <w:tcPr>
            <w:tcW w:w="1133" w:type="dxa"/>
          </w:tcPr>
          <w:p>
            <w:pPr>
              <w:pStyle w:val="TableParagraph"/>
              <w:rPr>
                <w:sz w:val="22"/>
              </w:rPr>
            </w:pPr>
          </w:p>
        </w:tc>
        <w:tc>
          <w:tcPr>
            <w:tcW w:w="3675" w:type="dxa"/>
          </w:tcPr>
          <w:p>
            <w:pPr>
              <w:pStyle w:val="TableParagraph"/>
              <w:rPr>
                <w:sz w:val="22"/>
              </w:rPr>
            </w:pPr>
          </w:p>
        </w:tc>
      </w:tr>
      <w:tr>
        <w:trPr>
          <w:trHeight w:val="1012" w:hRule="atLeast"/>
        </w:trPr>
        <w:tc>
          <w:tcPr>
            <w:tcW w:w="1747" w:type="dxa"/>
          </w:tcPr>
          <w:p>
            <w:pPr>
              <w:pStyle w:val="TableParagraph"/>
              <w:rPr>
                <w:sz w:val="22"/>
              </w:rPr>
            </w:pPr>
          </w:p>
        </w:tc>
        <w:tc>
          <w:tcPr>
            <w:tcW w:w="1123" w:type="dxa"/>
          </w:tcPr>
          <w:p>
            <w:pPr>
              <w:pStyle w:val="TableParagraph"/>
              <w:rPr>
                <w:sz w:val="22"/>
              </w:rPr>
            </w:pPr>
          </w:p>
        </w:tc>
        <w:tc>
          <w:tcPr>
            <w:tcW w:w="1097" w:type="dxa"/>
          </w:tcPr>
          <w:p>
            <w:pPr>
              <w:pStyle w:val="TableParagraph"/>
              <w:rPr>
                <w:sz w:val="22"/>
              </w:rPr>
            </w:pPr>
          </w:p>
        </w:tc>
        <w:tc>
          <w:tcPr>
            <w:tcW w:w="283" w:type="dxa"/>
            <w:vMerge/>
            <w:tcBorders>
              <w:top w:val="nil"/>
            </w:tcBorders>
            <w:shd w:val="clear" w:color="auto" w:fill="FFBF00"/>
          </w:tcPr>
          <w:p>
            <w:pPr>
              <w:rPr>
                <w:sz w:val="2"/>
                <w:szCs w:val="2"/>
              </w:rPr>
            </w:pPr>
          </w:p>
        </w:tc>
        <w:tc>
          <w:tcPr>
            <w:tcW w:w="1133" w:type="dxa"/>
          </w:tcPr>
          <w:p>
            <w:pPr>
              <w:pStyle w:val="TableParagraph"/>
              <w:rPr>
                <w:sz w:val="22"/>
              </w:rPr>
            </w:pPr>
          </w:p>
        </w:tc>
        <w:tc>
          <w:tcPr>
            <w:tcW w:w="1133" w:type="dxa"/>
          </w:tcPr>
          <w:p>
            <w:pPr>
              <w:pStyle w:val="TableParagraph"/>
              <w:rPr>
                <w:sz w:val="22"/>
              </w:rPr>
            </w:pPr>
          </w:p>
        </w:tc>
        <w:tc>
          <w:tcPr>
            <w:tcW w:w="3675" w:type="dxa"/>
          </w:tcPr>
          <w:p>
            <w:pPr>
              <w:pStyle w:val="TableParagraph"/>
              <w:rPr>
                <w:sz w:val="22"/>
              </w:rPr>
            </w:pPr>
          </w:p>
        </w:tc>
      </w:tr>
      <w:tr>
        <w:trPr>
          <w:trHeight w:val="1010" w:hRule="atLeast"/>
        </w:trPr>
        <w:tc>
          <w:tcPr>
            <w:tcW w:w="1747" w:type="dxa"/>
          </w:tcPr>
          <w:p>
            <w:pPr>
              <w:pStyle w:val="TableParagraph"/>
              <w:rPr>
                <w:sz w:val="22"/>
              </w:rPr>
            </w:pPr>
          </w:p>
        </w:tc>
        <w:tc>
          <w:tcPr>
            <w:tcW w:w="1123" w:type="dxa"/>
          </w:tcPr>
          <w:p>
            <w:pPr>
              <w:pStyle w:val="TableParagraph"/>
              <w:rPr>
                <w:sz w:val="22"/>
              </w:rPr>
            </w:pPr>
          </w:p>
        </w:tc>
        <w:tc>
          <w:tcPr>
            <w:tcW w:w="1097" w:type="dxa"/>
          </w:tcPr>
          <w:p>
            <w:pPr>
              <w:pStyle w:val="TableParagraph"/>
              <w:rPr>
                <w:sz w:val="22"/>
              </w:rPr>
            </w:pPr>
          </w:p>
        </w:tc>
        <w:tc>
          <w:tcPr>
            <w:tcW w:w="283" w:type="dxa"/>
            <w:vMerge/>
            <w:tcBorders>
              <w:top w:val="nil"/>
            </w:tcBorders>
            <w:shd w:val="clear" w:color="auto" w:fill="FFBF00"/>
          </w:tcPr>
          <w:p>
            <w:pPr>
              <w:rPr>
                <w:sz w:val="2"/>
                <w:szCs w:val="2"/>
              </w:rPr>
            </w:pPr>
          </w:p>
        </w:tc>
        <w:tc>
          <w:tcPr>
            <w:tcW w:w="1133" w:type="dxa"/>
          </w:tcPr>
          <w:p>
            <w:pPr>
              <w:pStyle w:val="TableParagraph"/>
              <w:rPr>
                <w:sz w:val="22"/>
              </w:rPr>
            </w:pPr>
          </w:p>
        </w:tc>
        <w:tc>
          <w:tcPr>
            <w:tcW w:w="1133" w:type="dxa"/>
          </w:tcPr>
          <w:p>
            <w:pPr>
              <w:pStyle w:val="TableParagraph"/>
              <w:rPr>
                <w:sz w:val="22"/>
              </w:rPr>
            </w:pPr>
          </w:p>
        </w:tc>
        <w:tc>
          <w:tcPr>
            <w:tcW w:w="3675" w:type="dxa"/>
          </w:tcPr>
          <w:p>
            <w:pPr>
              <w:pStyle w:val="TableParagraph"/>
              <w:rPr>
                <w:sz w:val="22"/>
              </w:rPr>
            </w:pPr>
          </w:p>
        </w:tc>
      </w:tr>
      <w:tr>
        <w:trPr>
          <w:trHeight w:val="1012" w:hRule="atLeast"/>
        </w:trPr>
        <w:tc>
          <w:tcPr>
            <w:tcW w:w="1747" w:type="dxa"/>
          </w:tcPr>
          <w:p>
            <w:pPr>
              <w:pStyle w:val="TableParagraph"/>
              <w:rPr>
                <w:sz w:val="22"/>
              </w:rPr>
            </w:pPr>
          </w:p>
        </w:tc>
        <w:tc>
          <w:tcPr>
            <w:tcW w:w="1123" w:type="dxa"/>
          </w:tcPr>
          <w:p>
            <w:pPr>
              <w:pStyle w:val="TableParagraph"/>
              <w:rPr>
                <w:sz w:val="22"/>
              </w:rPr>
            </w:pPr>
          </w:p>
        </w:tc>
        <w:tc>
          <w:tcPr>
            <w:tcW w:w="1097" w:type="dxa"/>
          </w:tcPr>
          <w:p>
            <w:pPr>
              <w:pStyle w:val="TableParagraph"/>
              <w:rPr>
                <w:sz w:val="22"/>
              </w:rPr>
            </w:pPr>
          </w:p>
        </w:tc>
        <w:tc>
          <w:tcPr>
            <w:tcW w:w="283" w:type="dxa"/>
            <w:vMerge/>
            <w:tcBorders>
              <w:top w:val="nil"/>
            </w:tcBorders>
            <w:shd w:val="clear" w:color="auto" w:fill="FFBF00"/>
          </w:tcPr>
          <w:p>
            <w:pPr>
              <w:rPr>
                <w:sz w:val="2"/>
                <w:szCs w:val="2"/>
              </w:rPr>
            </w:pPr>
          </w:p>
        </w:tc>
        <w:tc>
          <w:tcPr>
            <w:tcW w:w="1133" w:type="dxa"/>
          </w:tcPr>
          <w:p>
            <w:pPr>
              <w:pStyle w:val="TableParagraph"/>
              <w:rPr>
                <w:sz w:val="22"/>
              </w:rPr>
            </w:pPr>
          </w:p>
        </w:tc>
        <w:tc>
          <w:tcPr>
            <w:tcW w:w="1133" w:type="dxa"/>
          </w:tcPr>
          <w:p>
            <w:pPr>
              <w:pStyle w:val="TableParagraph"/>
              <w:rPr>
                <w:sz w:val="22"/>
              </w:rPr>
            </w:pPr>
          </w:p>
        </w:tc>
        <w:tc>
          <w:tcPr>
            <w:tcW w:w="3675" w:type="dxa"/>
          </w:tcPr>
          <w:p>
            <w:pPr>
              <w:pStyle w:val="TableParagraph"/>
              <w:rPr>
                <w:sz w:val="22"/>
              </w:rPr>
            </w:pPr>
          </w:p>
        </w:tc>
      </w:tr>
    </w:tbl>
    <w:p>
      <w:pPr>
        <w:spacing w:after="0"/>
        <w:rPr>
          <w:sz w:val="22"/>
        </w:rPr>
        <w:sectPr>
          <w:footerReference w:type="default" r:id="rId36"/>
          <w:pgSz w:w="11910" w:h="16840"/>
          <w:pgMar w:footer="297" w:header="0" w:top="1020" w:bottom="480" w:left="740" w:right="580"/>
          <w:pgNumType w:start="40"/>
        </w:sectPr>
      </w:pPr>
    </w:p>
    <w:p>
      <w:pPr>
        <w:spacing w:before="66"/>
        <w:ind w:left="111" w:right="0" w:firstLine="0"/>
        <w:jc w:val="left"/>
        <w:rPr>
          <w:sz w:val="28"/>
        </w:rPr>
      </w:pPr>
      <w:r>
        <w:rPr>
          <w:color w:val="548CD4"/>
          <w:w w:val="115"/>
          <w:sz w:val="28"/>
        </w:rPr>
        <w:t>Appendix C: Check Marking Summary Form</w:t>
      </w:r>
    </w:p>
    <w:p>
      <w:pPr>
        <w:pStyle w:val="BodyText"/>
        <w:spacing w:before="3"/>
        <w:ind w:left="111" w:right="456"/>
      </w:pPr>
      <w:r>
        <w:rPr>
          <w:w w:val="110"/>
        </w:rPr>
        <w:t>(for</w:t>
      </w:r>
      <w:r>
        <w:rPr>
          <w:spacing w:val="-7"/>
          <w:w w:val="110"/>
        </w:rPr>
        <w:t> </w:t>
      </w:r>
      <w:r>
        <w:rPr>
          <w:w w:val="110"/>
        </w:rPr>
        <w:t>panel</w:t>
      </w:r>
      <w:r>
        <w:rPr>
          <w:spacing w:val="-6"/>
          <w:w w:val="110"/>
        </w:rPr>
        <w:t> </w:t>
      </w:r>
      <w:r>
        <w:rPr>
          <w:w w:val="110"/>
        </w:rPr>
        <w:t>leader</w:t>
      </w:r>
      <w:r>
        <w:rPr>
          <w:spacing w:val="-6"/>
          <w:w w:val="110"/>
        </w:rPr>
        <w:t> </w:t>
      </w:r>
      <w:r>
        <w:rPr>
          <w:w w:val="110"/>
        </w:rPr>
        <w:t>use</w:t>
      </w:r>
      <w:r>
        <w:rPr>
          <w:spacing w:val="-7"/>
          <w:w w:val="110"/>
        </w:rPr>
        <w:t> </w:t>
      </w:r>
      <w:r>
        <w:rPr>
          <w:w w:val="110"/>
        </w:rPr>
        <w:t>—</w:t>
      </w:r>
      <w:r>
        <w:rPr>
          <w:spacing w:val="-10"/>
          <w:w w:val="110"/>
        </w:rPr>
        <w:t> </w:t>
      </w:r>
      <w:r>
        <w:rPr>
          <w:w w:val="110"/>
        </w:rPr>
        <w:t>modify</w:t>
      </w:r>
      <w:r>
        <w:rPr>
          <w:spacing w:val="-6"/>
          <w:w w:val="110"/>
        </w:rPr>
        <w:t> </w:t>
      </w:r>
      <w:r>
        <w:rPr>
          <w:w w:val="110"/>
        </w:rPr>
        <w:t>as</w:t>
      </w:r>
      <w:r>
        <w:rPr>
          <w:spacing w:val="-8"/>
          <w:w w:val="110"/>
        </w:rPr>
        <w:t> </w:t>
      </w:r>
      <w:r>
        <w:rPr>
          <w:w w:val="110"/>
        </w:rPr>
        <w:t>required.</w:t>
      </w:r>
      <w:r>
        <w:rPr>
          <w:spacing w:val="-5"/>
          <w:w w:val="110"/>
        </w:rPr>
        <w:t> </w:t>
      </w:r>
      <w:r>
        <w:rPr>
          <w:w w:val="110"/>
        </w:rPr>
        <w:t>Attach</w:t>
      </w:r>
      <w:r>
        <w:rPr>
          <w:spacing w:val="-6"/>
          <w:w w:val="110"/>
        </w:rPr>
        <w:t> </w:t>
      </w:r>
      <w:r>
        <w:rPr>
          <w:w w:val="110"/>
        </w:rPr>
        <w:t>each</w:t>
      </w:r>
      <w:r>
        <w:rPr>
          <w:spacing w:val="-8"/>
          <w:w w:val="110"/>
        </w:rPr>
        <w:t> </w:t>
      </w:r>
      <w:r>
        <w:rPr>
          <w:w w:val="110"/>
        </w:rPr>
        <w:t>marker’s</w:t>
      </w:r>
      <w:r>
        <w:rPr>
          <w:spacing w:val="-3"/>
          <w:w w:val="110"/>
        </w:rPr>
        <w:t> </w:t>
      </w:r>
      <w:r>
        <w:rPr>
          <w:w w:val="110"/>
        </w:rPr>
        <w:t>copies</w:t>
      </w:r>
      <w:r>
        <w:rPr>
          <w:spacing w:val="-6"/>
          <w:w w:val="110"/>
        </w:rPr>
        <w:t> </w:t>
      </w:r>
      <w:r>
        <w:rPr>
          <w:w w:val="110"/>
        </w:rPr>
        <w:t>to</w:t>
      </w:r>
      <w:r>
        <w:rPr>
          <w:spacing w:val="-7"/>
          <w:w w:val="110"/>
        </w:rPr>
        <w:t> </w:t>
      </w:r>
      <w:r>
        <w:rPr>
          <w:w w:val="110"/>
        </w:rPr>
        <w:t>their</w:t>
      </w:r>
      <w:r>
        <w:rPr>
          <w:spacing w:val="-9"/>
          <w:w w:val="110"/>
        </w:rPr>
        <w:t> </w:t>
      </w:r>
      <w:r>
        <w:rPr>
          <w:w w:val="110"/>
        </w:rPr>
        <w:t>Marker’s</w:t>
      </w:r>
      <w:r>
        <w:rPr>
          <w:spacing w:val="-6"/>
          <w:w w:val="110"/>
        </w:rPr>
        <w:t> </w:t>
      </w:r>
      <w:r>
        <w:rPr>
          <w:w w:val="110"/>
        </w:rPr>
        <w:t>Report</w:t>
      </w:r>
      <w:r>
        <w:rPr>
          <w:spacing w:val="-3"/>
          <w:w w:val="110"/>
        </w:rPr>
        <w:t> </w:t>
      </w:r>
      <w:r>
        <w:rPr>
          <w:w w:val="110"/>
        </w:rPr>
        <w:t>at</w:t>
      </w:r>
      <w:r>
        <w:rPr>
          <w:spacing w:val="-6"/>
          <w:w w:val="110"/>
        </w:rPr>
        <w:t> </w:t>
      </w:r>
      <w:r>
        <w:rPr>
          <w:w w:val="110"/>
        </w:rPr>
        <w:t>the</w:t>
      </w:r>
      <w:r>
        <w:rPr>
          <w:spacing w:val="-5"/>
          <w:w w:val="110"/>
        </w:rPr>
        <w:t> </w:t>
      </w:r>
      <w:r>
        <w:rPr>
          <w:w w:val="110"/>
        </w:rPr>
        <w:t>end</w:t>
      </w:r>
      <w:r>
        <w:rPr>
          <w:spacing w:val="-7"/>
          <w:w w:val="110"/>
        </w:rPr>
        <w:t> </w:t>
      </w:r>
      <w:r>
        <w:rPr>
          <w:w w:val="110"/>
        </w:rPr>
        <w:t>of</w:t>
      </w:r>
      <w:r>
        <w:rPr>
          <w:spacing w:val="-7"/>
          <w:w w:val="110"/>
        </w:rPr>
        <w:t> </w:t>
      </w:r>
      <w:r>
        <w:rPr>
          <w:w w:val="110"/>
        </w:rPr>
        <w:t>marking</w:t>
      </w:r>
      <w:r>
        <w:rPr>
          <w:spacing w:val="-6"/>
          <w:w w:val="110"/>
        </w:rPr>
        <w:t> </w:t>
      </w:r>
      <w:r>
        <w:rPr>
          <w:w w:val="110"/>
        </w:rPr>
        <w:t>and</w:t>
      </w:r>
      <w:r>
        <w:rPr>
          <w:spacing w:val="-9"/>
          <w:w w:val="110"/>
        </w:rPr>
        <w:t> </w:t>
      </w:r>
      <w:r>
        <w:rPr>
          <w:w w:val="110"/>
        </w:rPr>
        <w:t>mail</w:t>
      </w:r>
      <w:r>
        <w:rPr>
          <w:spacing w:val="-9"/>
          <w:w w:val="110"/>
        </w:rPr>
        <w:t> </w:t>
      </w:r>
      <w:r>
        <w:rPr>
          <w:w w:val="110"/>
        </w:rPr>
        <w:t>to</w:t>
      </w:r>
      <w:r>
        <w:rPr>
          <w:spacing w:val="-7"/>
          <w:w w:val="110"/>
        </w:rPr>
        <w:t> </w:t>
      </w:r>
      <w:r>
        <w:rPr>
          <w:w w:val="110"/>
        </w:rPr>
        <w:t>NZQA</w:t>
      </w:r>
      <w:r>
        <w:rPr>
          <w:spacing w:val="-6"/>
          <w:w w:val="110"/>
        </w:rPr>
        <w:t> </w:t>
      </w:r>
      <w:r>
        <w:rPr>
          <w:w w:val="110"/>
        </w:rPr>
        <w:t>by 10 January</w:t>
      </w:r>
      <w:r>
        <w:rPr>
          <w:spacing w:val="2"/>
          <w:w w:val="110"/>
        </w:rPr>
        <w:t> </w:t>
      </w:r>
      <w:r>
        <w:rPr>
          <w:w w:val="110"/>
        </w:rPr>
        <w:t>2020).</w:t>
      </w:r>
    </w:p>
    <w:p>
      <w:pPr>
        <w:pStyle w:val="BodyText"/>
        <w:rPr>
          <w:sz w:val="24"/>
        </w:rPr>
      </w:pPr>
    </w:p>
    <w:p>
      <w:pPr>
        <w:spacing w:before="138"/>
        <w:ind w:left="111" w:right="0" w:firstLine="0"/>
        <w:jc w:val="left"/>
        <w:rPr>
          <w:sz w:val="24"/>
        </w:rPr>
      </w:pPr>
      <w:r>
        <w:rPr>
          <w:w w:val="115"/>
          <w:sz w:val="24"/>
        </w:rPr>
        <w:t>2019 NCEA Check Marker Form</w:t>
      </w:r>
    </w:p>
    <w:p>
      <w:pPr>
        <w:tabs>
          <w:tab w:pos="1820" w:val="left" w:leader="none"/>
          <w:tab w:pos="3390" w:val="left" w:leader="none"/>
          <w:tab w:pos="3721" w:val="left" w:leader="none"/>
          <w:tab w:pos="4054" w:val="left" w:leader="none"/>
          <w:tab w:pos="4616" w:val="left" w:leader="none"/>
          <w:tab w:pos="6867" w:val="left" w:leader="none"/>
          <w:tab w:pos="7700" w:val="left" w:leader="none"/>
          <w:tab w:pos="8536" w:val="left" w:leader="none"/>
          <w:tab w:pos="9370" w:val="left" w:leader="none"/>
          <w:tab w:pos="10204" w:val="left" w:leader="none"/>
          <w:tab w:pos="11035" w:val="left" w:leader="none"/>
          <w:tab w:pos="11871" w:val="left" w:leader="none"/>
          <w:tab w:pos="12703" w:val="left" w:leader="none"/>
        </w:tabs>
        <w:spacing w:before="227"/>
        <w:ind w:left="111" w:right="0" w:firstLine="0"/>
        <w:jc w:val="left"/>
        <w:rPr>
          <w:sz w:val="20"/>
        </w:rPr>
      </w:pPr>
      <w:r>
        <w:rPr>
          <w:w w:val="110"/>
          <w:sz w:val="20"/>
        </w:rPr>
        <w:t>Subject: </w:t>
      </w:r>
      <w:r>
        <w:rPr>
          <w:spacing w:val="10"/>
          <w:w w:val="110"/>
          <w:sz w:val="20"/>
        </w:rPr>
        <w:t> </w:t>
      </w:r>
      <w:r>
        <w:rPr>
          <w:color w:val="0000FF"/>
          <w:w w:val="110"/>
          <w:sz w:val="20"/>
        </w:rPr>
        <w:t>DVC</w:t>
        <w:tab/>
      </w:r>
      <w:r>
        <w:rPr>
          <w:w w:val="110"/>
          <w:sz w:val="20"/>
        </w:rPr>
        <w:t>Level:</w:t>
      </w:r>
      <w:r>
        <w:rPr>
          <w:spacing w:val="-6"/>
          <w:w w:val="110"/>
          <w:sz w:val="20"/>
        </w:rPr>
        <w:t> </w:t>
      </w:r>
      <w:r>
        <w:rPr>
          <w:w w:val="110"/>
          <w:sz w:val="20"/>
        </w:rPr>
        <w:t>(circle)</w:t>
        <w:tab/>
      </w:r>
      <w:r>
        <w:rPr>
          <w:color w:val="0000FF"/>
          <w:w w:val="110"/>
          <w:sz w:val="20"/>
        </w:rPr>
        <w:t>1</w:t>
        <w:tab/>
        <w:t>2</w:t>
        <w:tab/>
        <w:t>3</w:t>
        <w:tab/>
      </w:r>
      <w:r>
        <w:rPr>
          <w:spacing w:val="-3"/>
          <w:w w:val="110"/>
          <w:sz w:val="20"/>
        </w:rPr>
        <w:t>AS</w:t>
      </w:r>
      <w:r>
        <w:rPr>
          <w:spacing w:val="3"/>
          <w:w w:val="110"/>
          <w:sz w:val="20"/>
        </w:rPr>
        <w:t> </w:t>
      </w:r>
      <w:r>
        <w:rPr>
          <w:w w:val="110"/>
          <w:sz w:val="20"/>
        </w:rPr>
        <w:t>Number:</w:t>
      </w:r>
      <w:r>
        <w:rPr>
          <w:spacing w:val="-1"/>
          <w:w w:val="110"/>
          <w:sz w:val="20"/>
        </w:rPr>
        <w:t> </w:t>
      </w:r>
      <w:r>
        <w:rPr>
          <w:w w:val="110"/>
          <w:sz w:val="20"/>
        </w:rPr>
        <w:t>(circle)</w:t>
        <w:tab/>
      </w:r>
      <w:r>
        <w:rPr>
          <w:color w:val="0000FF"/>
          <w:w w:val="110"/>
          <w:sz w:val="20"/>
        </w:rPr>
        <w:t>91063</w:t>
        <w:tab/>
        <w:t>91064</w:t>
        <w:tab/>
        <w:t>91065</w:t>
        <w:tab/>
        <w:t>91337</w:t>
        <w:tab/>
        <w:t>91338</w:t>
        <w:tab/>
        <w:t>91339</w:t>
        <w:tab/>
        <w:t>91627</w:t>
        <w:tab/>
        <w:t>91631</w:t>
      </w:r>
    </w:p>
    <w:p>
      <w:pPr>
        <w:pStyle w:val="BodyText"/>
        <w:rPr>
          <w:sz w:val="20"/>
        </w:rPr>
      </w:pPr>
    </w:p>
    <w:p>
      <w:pPr>
        <w:pStyle w:val="BodyText"/>
        <w:spacing w:before="11"/>
        <w:rPr>
          <w:sz w:val="21"/>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54"/>
        <w:gridCol w:w="1385"/>
        <w:gridCol w:w="1277"/>
        <w:gridCol w:w="8359"/>
      </w:tblGrid>
      <w:tr>
        <w:trPr>
          <w:trHeight w:val="326" w:hRule="atLeast"/>
        </w:trPr>
        <w:tc>
          <w:tcPr>
            <w:tcW w:w="5816" w:type="dxa"/>
            <w:gridSpan w:val="3"/>
          </w:tcPr>
          <w:p>
            <w:pPr>
              <w:pStyle w:val="TableParagraph"/>
              <w:spacing w:before="62"/>
              <w:ind w:left="107"/>
              <w:rPr>
                <w:sz w:val="20"/>
              </w:rPr>
            </w:pPr>
            <w:r>
              <w:rPr>
                <w:color w:val="FF0000"/>
                <w:w w:val="120"/>
                <w:sz w:val="20"/>
              </w:rPr>
              <w:t>Page Number:</w:t>
            </w:r>
          </w:p>
        </w:tc>
        <w:tc>
          <w:tcPr>
            <w:tcW w:w="8359" w:type="dxa"/>
            <w:tcBorders>
              <w:top w:val="nil"/>
              <w:right w:val="nil"/>
            </w:tcBorders>
          </w:tcPr>
          <w:p>
            <w:pPr>
              <w:pStyle w:val="TableParagraph"/>
              <w:rPr>
                <w:sz w:val="20"/>
              </w:rPr>
            </w:pPr>
          </w:p>
        </w:tc>
      </w:tr>
      <w:tr>
        <w:trPr>
          <w:trHeight w:val="263" w:hRule="atLeast"/>
        </w:trPr>
        <w:tc>
          <w:tcPr>
            <w:tcW w:w="3154" w:type="dxa"/>
            <w:vMerge w:val="restart"/>
            <w:shd w:val="clear" w:color="auto" w:fill="FFBF00"/>
          </w:tcPr>
          <w:p>
            <w:pPr>
              <w:pStyle w:val="TableParagraph"/>
              <w:spacing w:before="6"/>
              <w:rPr>
                <w:sz w:val="21"/>
              </w:rPr>
            </w:pPr>
          </w:p>
          <w:p>
            <w:pPr>
              <w:pStyle w:val="TableParagraph"/>
              <w:ind w:left="107"/>
              <w:rPr>
                <w:sz w:val="20"/>
              </w:rPr>
            </w:pPr>
            <w:r>
              <w:rPr>
                <w:w w:val="115"/>
                <w:sz w:val="20"/>
              </w:rPr>
              <w:t>School/Candidate Code (NSN)</w:t>
            </w:r>
          </w:p>
        </w:tc>
        <w:tc>
          <w:tcPr>
            <w:tcW w:w="2662" w:type="dxa"/>
            <w:gridSpan w:val="2"/>
            <w:shd w:val="clear" w:color="auto" w:fill="FFBF00"/>
          </w:tcPr>
          <w:p>
            <w:pPr>
              <w:pStyle w:val="TableParagraph"/>
              <w:rPr>
                <w:sz w:val="18"/>
              </w:rPr>
            </w:pPr>
          </w:p>
        </w:tc>
        <w:tc>
          <w:tcPr>
            <w:tcW w:w="8359" w:type="dxa"/>
            <w:shd w:val="clear" w:color="auto" w:fill="FFBF00"/>
          </w:tcPr>
          <w:p>
            <w:pPr>
              <w:pStyle w:val="TableParagraph"/>
              <w:ind w:left="104"/>
              <w:rPr>
                <w:sz w:val="13"/>
              </w:rPr>
            </w:pPr>
            <w:r>
              <w:rPr>
                <w:w w:val="120"/>
                <w:sz w:val="20"/>
              </w:rPr>
              <w:t>Comments</w:t>
            </w:r>
            <w:r>
              <w:rPr>
                <w:w w:val="120"/>
                <w:position w:val="6"/>
                <w:sz w:val="13"/>
              </w:rPr>
              <w:t>1</w:t>
            </w:r>
          </w:p>
        </w:tc>
      </w:tr>
      <w:tr>
        <w:trPr>
          <w:trHeight w:val="237" w:hRule="atLeast"/>
        </w:trPr>
        <w:tc>
          <w:tcPr>
            <w:tcW w:w="3154" w:type="dxa"/>
            <w:vMerge/>
            <w:tcBorders>
              <w:top w:val="nil"/>
            </w:tcBorders>
            <w:shd w:val="clear" w:color="auto" w:fill="FFBF00"/>
          </w:tcPr>
          <w:p>
            <w:pPr>
              <w:rPr>
                <w:sz w:val="2"/>
                <w:szCs w:val="2"/>
              </w:rPr>
            </w:pPr>
          </w:p>
        </w:tc>
        <w:tc>
          <w:tcPr>
            <w:tcW w:w="1385" w:type="dxa"/>
          </w:tcPr>
          <w:p>
            <w:pPr>
              <w:pStyle w:val="TableParagraph"/>
              <w:spacing w:line="207" w:lineRule="exact"/>
              <w:ind w:left="103"/>
              <w:jc w:val="center"/>
              <w:rPr>
                <w:sz w:val="18"/>
              </w:rPr>
            </w:pPr>
            <w:r>
              <w:rPr>
                <w:w w:val="93"/>
                <w:sz w:val="18"/>
              </w:rPr>
              <w:t>M</w:t>
            </w:r>
          </w:p>
        </w:tc>
        <w:tc>
          <w:tcPr>
            <w:tcW w:w="1277" w:type="dxa"/>
          </w:tcPr>
          <w:p>
            <w:pPr>
              <w:pStyle w:val="TableParagraph"/>
              <w:spacing w:line="207" w:lineRule="exact"/>
              <w:ind w:left="501" w:right="445"/>
              <w:jc w:val="center"/>
              <w:rPr>
                <w:sz w:val="18"/>
              </w:rPr>
            </w:pPr>
            <w:r>
              <w:rPr>
                <w:sz w:val="18"/>
              </w:rPr>
              <w:t>CM</w:t>
            </w:r>
          </w:p>
        </w:tc>
        <w:tc>
          <w:tcPr>
            <w:tcW w:w="8359" w:type="dxa"/>
            <w:shd w:val="clear" w:color="auto" w:fill="FFBF00"/>
          </w:tcPr>
          <w:p>
            <w:pPr>
              <w:pStyle w:val="TableParagraph"/>
              <w:rPr>
                <w:sz w:val="16"/>
              </w:rPr>
            </w:pPr>
          </w:p>
        </w:tc>
      </w:tr>
      <w:tr>
        <w:trPr>
          <w:trHeight w:val="424" w:hRule="atLeast"/>
        </w:trPr>
        <w:tc>
          <w:tcPr>
            <w:tcW w:w="3154" w:type="dxa"/>
          </w:tcPr>
          <w:p>
            <w:pPr>
              <w:pStyle w:val="TableParagraph"/>
              <w:rPr>
                <w:sz w:val="20"/>
              </w:rPr>
            </w:pPr>
          </w:p>
        </w:tc>
        <w:tc>
          <w:tcPr>
            <w:tcW w:w="1385" w:type="dxa"/>
          </w:tcPr>
          <w:p>
            <w:pPr>
              <w:pStyle w:val="TableParagraph"/>
              <w:rPr>
                <w:sz w:val="20"/>
              </w:rPr>
            </w:pPr>
          </w:p>
        </w:tc>
        <w:tc>
          <w:tcPr>
            <w:tcW w:w="1277" w:type="dxa"/>
          </w:tcPr>
          <w:p>
            <w:pPr>
              <w:pStyle w:val="TableParagraph"/>
              <w:rPr>
                <w:sz w:val="20"/>
              </w:rPr>
            </w:pPr>
          </w:p>
        </w:tc>
        <w:tc>
          <w:tcPr>
            <w:tcW w:w="8359" w:type="dxa"/>
          </w:tcPr>
          <w:p>
            <w:pPr>
              <w:pStyle w:val="TableParagraph"/>
              <w:rPr>
                <w:sz w:val="20"/>
              </w:rPr>
            </w:pPr>
          </w:p>
        </w:tc>
      </w:tr>
      <w:tr>
        <w:trPr>
          <w:trHeight w:val="422" w:hRule="atLeast"/>
        </w:trPr>
        <w:tc>
          <w:tcPr>
            <w:tcW w:w="3154" w:type="dxa"/>
          </w:tcPr>
          <w:p>
            <w:pPr>
              <w:pStyle w:val="TableParagraph"/>
              <w:rPr>
                <w:sz w:val="20"/>
              </w:rPr>
            </w:pPr>
          </w:p>
        </w:tc>
        <w:tc>
          <w:tcPr>
            <w:tcW w:w="1385" w:type="dxa"/>
          </w:tcPr>
          <w:p>
            <w:pPr>
              <w:pStyle w:val="TableParagraph"/>
              <w:rPr>
                <w:sz w:val="20"/>
              </w:rPr>
            </w:pPr>
          </w:p>
        </w:tc>
        <w:tc>
          <w:tcPr>
            <w:tcW w:w="1277" w:type="dxa"/>
          </w:tcPr>
          <w:p>
            <w:pPr>
              <w:pStyle w:val="TableParagraph"/>
              <w:rPr>
                <w:sz w:val="20"/>
              </w:rPr>
            </w:pPr>
          </w:p>
        </w:tc>
        <w:tc>
          <w:tcPr>
            <w:tcW w:w="8359" w:type="dxa"/>
          </w:tcPr>
          <w:p>
            <w:pPr>
              <w:pStyle w:val="TableParagraph"/>
              <w:rPr>
                <w:sz w:val="20"/>
              </w:rPr>
            </w:pPr>
          </w:p>
        </w:tc>
      </w:tr>
      <w:tr>
        <w:trPr>
          <w:trHeight w:val="424" w:hRule="atLeast"/>
        </w:trPr>
        <w:tc>
          <w:tcPr>
            <w:tcW w:w="3154" w:type="dxa"/>
          </w:tcPr>
          <w:p>
            <w:pPr>
              <w:pStyle w:val="TableParagraph"/>
              <w:rPr>
                <w:sz w:val="20"/>
              </w:rPr>
            </w:pPr>
          </w:p>
        </w:tc>
        <w:tc>
          <w:tcPr>
            <w:tcW w:w="1385" w:type="dxa"/>
          </w:tcPr>
          <w:p>
            <w:pPr>
              <w:pStyle w:val="TableParagraph"/>
              <w:rPr>
                <w:sz w:val="20"/>
              </w:rPr>
            </w:pPr>
          </w:p>
        </w:tc>
        <w:tc>
          <w:tcPr>
            <w:tcW w:w="1277" w:type="dxa"/>
          </w:tcPr>
          <w:p>
            <w:pPr>
              <w:pStyle w:val="TableParagraph"/>
              <w:rPr>
                <w:sz w:val="20"/>
              </w:rPr>
            </w:pPr>
          </w:p>
        </w:tc>
        <w:tc>
          <w:tcPr>
            <w:tcW w:w="8359" w:type="dxa"/>
          </w:tcPr>
          <w:p>
            <w:pPr>
              <w:pStyle w:val="TableParagraph"/>
              <w:rPr>
                <w:sz w:val="20"/>
              </w:rPr>
            </w:pPr>
          </w:p>
        </w:tc>
      </w:tr>
      <w:tr>
        <w:trPr>
          <w:trHeight w:val="422" w:hRule="atLeast"/>
        </w:trPr>
        <w:tc>
          <w:tcPr>
            <w:tcW w:w="3154" w:type="dxa"/>
          </w:tcPr>
          <w:p>
            <w:pPr>
              <w:pStyle w:val="TableParagraph"/>
              <w:rPr>
                <w:sz w:val="20"/>
              </w:rPr>
            </w:pPr>
          </w:p>
        </w:tc>
        <w:tc>
          <w:tcPr>
            <w:tcW w:w="1385" w:type="dxa"/>
          </w:tcPr>
          <w:p>
            <w:pPr>
              <w:pStyle w:val="TableParagraph"/>
              <w:rPr>
                <w:sz w:val="20"/>
              </w:rPr>
            </w:pPr>
          </w:p>
        </w:tc>
        <w:tc>
          <w:tcPr>
            <w:tcW w:w="1277" w:type="dxa"/>
          </w:tcPr>
          <w:p>
            <w:pPr>
              <w:pStyle w:val="TableParagraph"/>
              <w:rPr>
                <w:sz w:val="20"/>
              </w:rPr>
            </w:pPr>
          </w:p>
        </w:tc>
        <w:tc>
          <w:tcPr>
            <w:tcW w:w="8359" w:type="dxa"/>
          </w:tcPr>
          <w:p>
            <w:pPr>
              <w:pStyle w:val="TableParagraph"/>
              <w:rPr>
                <w:sz w:val="20"/>
              </w:rPr>
            </w:pPr>
          </w:p>
        </w:tc>
      </w:tr>
      <w:tr>
        <w:trPr>
          <w:trHeight w:val="424" w:hRule="atLeast"/>
        </w:trPr>
        <w:tc>
          <w:tcPr>
            <w:tcW w:w="3154" w:type="dxa"/>
          </w:tcPr>
          <w:p>
            <w:pPr>
              <w:pStyle w:val="TableParagraph"/>
              <w:rPr>
                <w:sz w:val="20"/>
              </w:rPr>
            </w:pPr>
          </w:p>
        </w:tc>
        <w:tc>
          <w:tcPr>
            <w:tcW w:w="1385" w:type="dxa"/>
          </w:tcPr>
          <w:p>
            <w:pPr>
              <w:pStyle w:val="TableParagraph"/>
              <w:rPr>
                <w:sz w:val="20"/>
              </w:rPr>
            </w:pPr>
          </w:p>
        </w:tc>
        <w:tc>
          <w:tcPr>
            <w:tcW w:w="1277" w:type="dxa"/>
          </w:tcPr>
          <w:p>
            <w:pPr>
              <w:pStyle w:val="TableParagraph"/>
              <w:rPr>
                <w:sz w:val="20"/>
              </w:rPr>
            </w:pPr>
          </w:p>
        </w:tc>
        <w:tc>
          <w:tcPr>
            <w:tcW w:w="8359" w:type="dxa"/>
          </w:tcPr>
          <w:p>
            <w:pPr>
              <w:pStyle w:val="TableParagraph"/>
              <w:rPr>
                <w:sz w:val="20"/>
              </w:rPr>
            </w:pPr>
          </w:p>
        </w:tc>
      </w:tr>
      <w:tr>
        <w:trPr>
          <w:trHeight w:val="422" w:hRule="atLeast"/>
        </w:trPr>
        <w:tc>
          <w:tcPr>
            <w:tcW w:w="3154" w:type="dxa"/>
          </w:tcPr>
          <w:p>
            <w:pPr>
              <w:pStyle w:val="TableParagraph"/>
              <w:rPr>
                <w:sz w:val="20"/>
              </w:rPr>
            </w:pPr>
          </w:p>
        </w:tc>
        <w:tc>
          <w:tcPr>
            <w:tcW w:w="1385" w:type="dxa"/>
          </w:tcPr>
          <w:p>
            <w:pPr>
              <w:pStyle w:val="TableParagraph"/>
              <w:rPr>
                <w:sz w:val="20"/>
              </w:rPr>
            </w:pPr>
          </w:p>
        </w:tc>
        <w:tc>
          <w:tcPr>
            <w:tcW w:w="1277" w:type="dxa"/>
          </w:tcPr>
          <w:p>
            <w:pPr>
              <w:pStyle w:val="TableParagraph"/>
              <w:rPr>
                <w:sz w:val="20"/>
              </w:rPr>
            </w:pPr>
          </w:p>
        </w:tc>
        <w:tc>
          <w:tcPr>
            <w:tcW w:w="8359" w:type="dxa"/>
          </w:tcPr>
          <w:p>
            <w:pPr>
              <w:pStyle w:val="TableParagraph"/>
              <w:rPr>
                <w:sz w:val="20"/>
              </w:rPr>
            </w:pPr>
          </w:p>
        </w:tc>
      </w:tr>
      <w:tr>
        <w:trPr>
          <w:trHeight w:val="424" w:hRule="atLeast"/>
        </w:trPr>
        <w:tc>
          <w:tcPr>
            <w:tcW w:w="3154" w:type="dxa"/>
          </w:tcPr>
          <w:p>
            <w:pPr>
              <w:pStyle w:val="TableParagraph"/>
              <w:rPr>
                <w:sz w:val="20"/>
              </w:rPr>
            </w:pPr>
          </w:p>
        </w:tc>
        <w:tc>
          <w:tcPr>
            <w:tcW w:w="1385" w:type="dxa"/>
          </w:tcPr>
          <w:p>
            <w:pPr>
              <w:pStyle w:val="TableParagraph"/>
              <w:rPr>
                <w:sz w:val="20"/>
              </w:rPr>
            </w:pPr>
          </w:p>
        </w:tc>
        <w:tc>
          <w:tcPr>
            <w:tcW w:w="1277" w:type="dxa"/>
          </w:tcPr>
          <w:p>
            <w:pPr>
              <w:pStyle w:val="TableParagraph"/>
              <w:rPr>
                <w:sz w:val="20"/>
              </w:rPr>
            </w:pPr>
          </w:p>
        </w:tc>
        <w:tc>
          <w:tcPr>
            <w:tcW w:w="8359" w:type="dxa"/>
          </w:tcPr>
          <w:p>
            <w:pPr>
              <w:pStyle w:val="TableParagraph"/>
              <w:rPr>
                <w:sz w:val="20"/>
              </w:rPr>
            </w:pPr>
          </w:p>
        </w:tc>
      </w:tr>
      <w:tr>
        <w:trPr>
          <w:trHeight w:val="422" w:hRule="atLeast"/>
        </w:trPr>
        <w:tc>
          <w:tcPr>
            <w:tcW w:w="3154" w:type="dxa"/>
          </w:tcPr>
          <w:p>
            <w:pPr>
              <w:pStyle w:val="TableParagraph"/>
              <w:rPr>
                <w:sz w:val="20"/>
              </w:rPr>
            </w:pPr>
          </w:p>
        </w:tc>
        <w:tc>
          <w:tcPr>
            <w:tcW w:w="1385" w:type="dxa"/>
          </w:tcPr>
          <w:p>
            <w:pPr>
              <w:pStyle w:val="TableParagraph"/>
              <w:rPr>
                <w:sz w:val="20"/>
              </w:rPr>
            </w:pPr>
          </w:p>
        </w:tc>
        <w:tc>
          <w:tcPr>
            <w:tcW w:w="1277" w:type="dxa"/>
          </w:tcPr>
          <w:p>
            <w:pPr>
              <w:pStyle w:val="TableParagraph"/>
              <w:rPr>
                <w:sz w:val="20"/>
              </w:rPr>
            </w:pPr>
          </w:p>
        </w:tc>
        <w:tc>
          <w:tcPr>
            <w:tcW w:w="8359" w:type="dxa"/>
          </w:tcPr>
          <w:p>
            <w:pPr>
              <w:pStyle w:val="TableParagraph"/>
              <w:rPr>
                <w:sz w:val="20"/>
              </w:rPr>
            </w:pPr>
          </w:p>
        </w:tc>
      </w:tr>
      <w:tr>
        <w:trPr>
          <w:trHeight w:val="424" w:hRule="atLeast"/>
        </w:trPr>
        <w:tc>
          <w:tcPr>
            <w:tcW w:w="3154" w:type="dxa"/>
          </w:tcPr>
          <w:p>
            <w:pPr>
              <w:pStyle w:val="TableParagraph"/>
              <w:rPr>
                <w:sz w:val="20"/>
              </w:rPr>
            </w:pPr>
          </w:p>
        </w:tc>
        <w:tc>
          <w:tcPr>
            <w:tcW w:w="1385" w:type="dxa"/>
          </w:tcPr>
          <w:p>
            <w:pPr>
              <w:pStyle w:val="TableParagraph"/>
              <w:rPr>
                <w:sz w:val="20"/>
              </w:rPr>
            </w:pPr>
          </w:p>
        </w:tc>
        <w:tc>
          <w:tcPr>
            <w:tcW w:w="1277" w:type="dxa"/>
          </w:tcPr>
          <w:p>
            <w:pPr>
              <w:pStyle w:val="TableParagraph"/>
              <w:rPr>
                <w:sz w:val="20"/>
              </w:rPr>
            </w:pPr>
          </w:p>
        </w:tc>
        <w:tc>
          <w:tcPr>
            <w:tcW w:w="8359" w:type="dxa"/>
          </w:tcPr>
          <w:p>
            <w:pPr>
              <w:pStyle w:val="TableParagraph"/>
              <w:rPr>
                <w:sz w:val="20"/>
              </w:rPr>
            </w:pPr>
          </w:p>
        </w:tc>
      </w:tr>
      <w:tr>
        <w:trPr>
          <w:trHeight w:val="424" w:hRule="atLeast"/>
        </w:trPr>
        <w:tc>
          <w:tcPr>
            <w:tcW w:w="3154" w:type="dxa"/>
          </w:tcPr>
          <w:p>
            <w:pPr>
              <w:pStyle w:val="TableParagraph"/>
              <w:rPr>
                <w:sz w:val="20"/>
              </w:rPr>
            </w:pPr>
          </w:p>
        </w:tc>
        <w:tc>
          <w:tcPr>
            <w:tcW w:w="1385" w:type="dxa"/>
          </w:tcPr>
          <w:p>
            <w:pPr>
              <w:pStyle w:val="TableParagraph"/>
              <w:rPr>
                <w:sz w:val="20"/>
              </w:rPr>
            </w:pPr>
          </w:p>
        </w:tc>
        <w:tc>
          <w:tcPr>
            <w:tcW w:w="1277" w:type="dxa"/>
          </w:tcPr>
          <w:p>
            <w:pPr>
              <w:pStyle w:val="TableParagraph"/>
              <w:rPr>
                <w:sz w:val="20"/>
              </w:rPr>
            </w:pPr>
          </w:p>
        </w:tc>
        <w:tc>
          <w:tcPr>
            <w:tcW w:w="8359" w:type="dxa"/>
          </w:tcPr>
          <w:p>
            <w:pPr>
              <w:pStyle w:val="TableParagraph"/>
              <w:rPr>
                <w:sz w:val="20"/>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12"/>
        <w:gridCol w:w="2769"/>
        <w:gridCol w:w="4232"/>
      </w:tblGrid>
      <w:tr>
        <w:trPr>
          <w:trHeight w:val="350" w:hRule="atLeast"/>
        </w:trPr>
        <w:tc>
          <w:tcPr>
            <w:tcW w:w="3912" w:type="dxa"/>
            <w:tcBorders>
              <w:top w:val="single" w:sz="6" w:space="0" w:color="000000"/>
            </w:tcBorders>
          </w:tcPr>
          <w:p>
            <w:pPr>
              <w:pStyle w:val="TableParagraph"/>
              <w:spacing w:line="242" w:lineRule="exact" w:before="87"/>
              <w:rPr>
                <w:sz w:val="22"/>
              </w:rPr>
            </w:pPr>
            <w:r>
              <w:rPr>
                <w:w w:val="110"/>
                <w:position w:val="8"/>
                <w:sz w:val="14"/>
              </w:rPr>
              <w:t>1 </w:t>
            </w:r>
            <w:r>
              <w:rPr>
                <w:w w:val="110"/>
                <w:sz w:val="22"/>
              </w:rPr>
              <w:t>Comment on marker performance:</w:t>
            </w:r>
          </w:p>
        </w:tc>
        <w:tc>
          <w:tcPr>
            <w:tcW w:w="2769" w:type="dxa"/>
          </w:tcPr>
          <w:p>
            <w:pPr>
              <w:pStyle w:val="TableParagraph"/>
              <w:spacing w:line="237" w:lineRule="exact" w:before="93"/>
              <w:ind w:left="424"/>
              <w:rPr>
                <w:sz w:val="22"/>
              </w:rPr>
            </w:pPr>
            <w:r>
              <w:rPr>
                <w:w w:val="110"/>
                <w:sz w:val="22"/>
              </w:rPr>
              <w:t>Marking Standard</w:t>
            </w:r>
          </w:p>
        </w:tc>
        <w:tc>
          <w:tcPr>
            <w:tcW w:w="4232" w:type="dxa"/>
          </w:tcPr>
          <w:p>
            <w:pPr>
              <w:pStyle w:val="TableParagraph"/>
              <w:spacing w:line="237" w:lineRule="exact" w:before="93"/>
              <w:ind w:left="184"/>
              <w:rPr>
                <w:sz w:val="22"/>
              </w:rPr>
            </w:pPr>
            <w:r>
              <w:rPr>
                <w:w w:val="110"/>
                <w:sz w:val="22"/>
              </w:rPr>
              <w:t>(Hard, Accurate, Generous)</w:t>
            </w:r>
          </w:p>
        </w:tc>
      </w:tr>
      <w:tr>
        <w:trPr>
          <w:trHeight w:val="251" w:hRule="atLeast"/>
        </w:trPr>
        <w:tc>
          <w:tcPr>
            <w:tcW w:w="3912" w:type="dxa"/>
          </w:tcPr>
          <w:p>
            <w:pPr>
              <w:pStyle w:val="TableParagraph"/>
              <w:rPr>
                <w:sz w:val="18"/>
              </w:rPr>
            </w:pPr>
          </w:p>
        </w:tc>
        <w:tc>
          <w:tcPr>
            <w:tcW w:w="2769" w:type="dxa"/>
          </w:tcPr>
          <w:p>
            <w:pPr>
              <w:pStyle w:val="TableParagraph"/>
              <w:spacing w:line="232" w:lineRule="exact"/>
              <w:ind w:left="408"/>
              <w:rPr>
                <w:sz w:val="22"/>
              </w:rPr>
            </w:pPr>
            <w:r>
              <w:rPr>
                <w:w w:val="110"/>
                <w:sz w:val="22"/>
              </w:rPr>
              <w:t>Consistency</w:t>
            </w:r>
          </w:p>
        </w:tc>
        <w:tc>
          <w:tcPr>
            <w:tcW w:w="4232" w:type="dxa"/>
          </w:tcPr>
          <w:p>
            <w:pPr>
              <w:pStyle w:val="TableParagraph"/>
              <w:spacing w:line="232" w:lineRule="exact"/>
              <w:ind w:left="183"/>
              <w:rPr>
                <w:sz w:val="22"/>
              </w:rPr>
            </w:pPr>
            <w:r>
              <w:rPr>
                <w:w w:val="110"/>
                <w:sz w:val="22"/>
              </w:rPr>
              <w:t>(Consistent, Sometimes variable, Erratic)</w:t>
            </w:r>
          </w:p>
        </w:tc>
      </w:tr>
      <w:tr>
        <w:trPr>
          <w:trHeight w:val="248" w:hRule="atLeast"/>
        </w:trPr>
        <w:tc>
          <w:tcPr>
            <w:tcW w:w="3912" w:type="dxa"/>
          </w:tcPr>
          <w:p>
            <w:pPr>
              <w:pStyle w:val="TableParagraph"/>
              <w:rPr>
                <w:sz w:val="18"/>
              </w:rPr>
            </w:pPr>
          </w:p>
        </w:tc>
        <w:tc>
          <w:tcPr>
            <w:tcW w:w="2769" w:type="dxa"/>
          </w:tcPr>
          <w:p>
            <w:pPr>
              <w:pStyle w:val="TableParagraph"/>
              <w:spacing w:line="228" w:lineRule="exact"/>
              <w:ind w:left="408"/>
              <w:rPr>
                <w:sz w:val="22"/>
              </w:rPr>
            </w:pPr>
            <w:r>
              <w:rPr>
                <w:w w:val="115"/>
                <w:sz w:val="22"/>
              </w:rPr>
              <w:t>Mechanical processes</w:t>
            </w:r>
          </w:p>
        </w:tc>
        <w:tc>
          <w:tcPr>
            <w:tcW w:w="4232" w:type="dxa"/>
          </w:tcPr>
          <w:p>
            <w:pPr>
              <w:pStyle w:val="TableParagraph"/>
              <w:spacing w:line="228" w:lineRule="exact"/>
              <w:ind w:left="183"/>
              <w:rPr>
                <w:sz w:val="22"/>
              </w:rPr>
            </w:pPr>
            <w:r>
              <w:rPr>
                <w:w w:val="110"/>
                <w:sz w:val="22"/>
              </w:rPr>
              <w:t>(Accurate, Some errors, Frequent errors)</w:t>
            </w:r>
          </w:p>
        </w:tc>
      </w:tr>
    </w:tbl>
    <w:p>
      <w:pPr>
        <w:spacing w:after="0" w:line="228" w:lineRule="exact"/>
        <w:rPr>
          <w:sz w:val="22"/>
        </w:rPr>
        <w:sectPr>
          <w:footerReference w:type="default" r:id="rId37"/>
          <w:pgSz w:w="16840" w:h="11910" w:orient="landscape"/>
          <w:pgMar w:footer="297" w:header="0" w:top="1060" w:bottom="480" w:left="740" w:right="1700"/>
        </w:sectPr>
      </w:pPr>
    </w:p>
    <w:p>
      <w:pPr>
        <w:pStyle w:val="Heading2"/>
        <w:ind w:left="398"/>
      </w:pPr>
      <w:r>
        <w:rPr>
          <w:color w:val="548CD4"/>
          <w:w w:val="115"/>
        </w:rPr>
        <w:t>Appendix D: Marker’s Check List</w:t>
      </w:r>
    </w:p>
    <w:p>
      <w:pPr>
        <w:pStyle w:val="BodyText"/>
        <w:spacing w:before="3"/>
        <w:ind w:left="398"/>
      </w:pPr>
      <w:r>
        <w:rPr>
          <w:w w:val="110"/>
        </w:rPr>
        <w:t>(for personal use)</w:t>
      </w:r>
    </w:p>
    <w:p>
      <w:pPr>
        <w:pStyle w:val="BodyText"/>
        <w:rPr>
          <w:sz w:val="20"/>
        </w:rPr>
      </w:pPr>
    </w:p>
    <w:p>
      <w:pPr>
        <w:pStyle w:val="BodyText"/>
        <w:spacing w:before="2"/>
        <w:rPr>
          <w:sz w:val="12"/>
        </w:rPr>
      </w:pPr>
    </w:p>
    <w:tbl>
      <w:tblPr>
        <w:tblW w:w="0" w:type="auto"/>
        <w:jc w:val="left"/>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42"/>
        <w:gridCol w:w="747"/>
      </w:tblGrid>
      <w:tr>
        <w:trPr>
          <w:trHeight w:val="494" w:hRule="atLeast"/>
        </w:trPr>
        <w:tc>
          <w:tcPr>
            <w:tcW w:w="8542" w:type="dxa"/>
            <w:shd w:val="clear" w:color="auto" w:fill="FFBF00"/>
          </w:tcPr>
          <w:p>
            <w:pPr>
              <w:pStyle w:val="TableParagraph"/>
              <w:rPr>
                <w:sz w:val="22"/>
              </w:rPr>
            </w:pPr>
          </w:p>
        </w:tc>
        <w:tc>
          <w:tcPr>
            <w:tcW w:w="747" w:type="dxa"/>
            <w:shd w:val="clear" w:color="auto" w:fill="91CF50"/>
          </w:tcPr>
          <w:p>
            <w:pPr>
              <w:pStyle w:val="TableParagraph"/>
              <w:spacing w:before="116"/>
              <w:ind w:left="229"/>
              <w:rPr>
                <w:sz w:val="22"/>
              </w:rPr>
            </w:pPr>
            <w:r>
              <w:rPr>
                <w:w w:val="101"/>
                <w:sz w:val="22"/>
              </w:rPr>
              <w:t></w:t>
            </w:r>
          </w:p>
        </w:tc>
      </w:tr>
      <w:tr>
        <w:trPr>
          <w:trHeight w:val="433" w:hRule="atLeast"/>
        </w:trPr>
        <w:tc>
          <w:tcPr>
            <w:tcW w:w="8542" w:type="dxa"/>
          </w:tcPr>
          <w:p>
            <w:pPr>
              <w:pStyle w:val="TableParagraph"/>
              <w:spacing w:before="92"/>
              <w:ind w:left="249"/>
              <w:rPr>
                <w:sz w:val="22"/>
              </w:rPr>
            </w:pPr>
            <w:r>
              <w:rPr>
                <w:w w:val="115"/>
                <w:sz w:val="22"/>
              </w:rPr>
              <w:t>Have you …</w:t>
            </w:r>
          </w:p>
        </w:tc>
        <w:tc>
          <w:tcPr>
            <w:tcW w:w="747" w:type="dxa"/>
          </w:tcPr>
          <w:p>
            <w:pPr>
              <w:pStyle w:val="TableParagraph"/>
              <w:rPr>
                <w:sz w:val="22"/>
              </w:rPr>
            </w:pPr>
          </w:p>
        </w:tc>
      </w:tr>
      <w:tr>
        <w:trPr>
          <w:trHeight w:val="374" w:hRule="atLeast"/>
        </w:trPr>
        <w:tc>
          <w:tcPr>
            <w:tcW w:w="8542" w:type="dxa"/>
          </w:tcPr>
          <w:p>
            <w:pPr>
              <w:pStyle w:val="TableParagraph"/>
              <w:spacing w:before="63"/>
              <w:ind w:left="249"/>
              <w:rPr>
                <w:sz w:val="22"/>
              </w:rPr>
            </w:pPr>
            <w:r>
              <w:rPr>
                <w:w w:val="115"/>
                <w:sz w:val="22"/>
              </w:rPr>
              <w:t>Read these Guide Notes?</w:t>
            </w:r>
          </w:p>
        </w:tc>
        <w:tc>
          <w:tcPr>
            <w:tcW w:w="747" w:type="dxa"/>
          </w:tcPr>
          <w:p>
            <w:pPr>
              <w:pStyle w:val="TableParagraph"/>
              <w:rPr>
                <w:sz w:val="22"/>
              </w:rPr>
            </w:pPr>
          </w:p>
        </w:tc>
      </w:tr>
      <w:tr>
        <w:trPr>
          <w:trHeight w:val="373" w:hRule="atLeast"/>
        </w:trPr>
        <w:tc>
          <w:tcPr>
            <w:tcW w:w="8542" w:type="dxa"/>
          </w:tcPr>
          <w:p>
            <w:pPr>
              <w:pStyle w:val="TableParagraph"/>
              <w:spacing w:before="61"/>
              <w:ind w:left="249"/>
              <w:rPr>
                <w:sz w:val="22"/>
              </w:rPr>
            </w:pPr>
            <w:r>
              <w:rPr>
                <w:w w:val="105"/>
                <w:sz w:val="22"/>
              </w:rPr>
              <w:t>Noted the return of results date for your level?</w:t>
            </w:r>
          </w:p>
        </w:tc>
        <w:tc>
          <w:tcPr>
            <w:tcW w:w="747" w:type="dxa"/>
          </w:tcPr>
          <w:p>
            <w:pPr>
              <w:pStyle w:val="TableParagraph"/>
              <w:rPr>
                <w:sz w:val="22"/>
              </w:rPr>
            </w:pPr>
          </w:p>
        </w:tc>
      </w:tr>
      <w:tr>
        <w:trPr>
          <w:trHeight w:val="371" w:hRule="atLeast"/>
        </w:trPr>
        <w:tc>
          <w:tcPr>
            <w:tcW w:w="8542" w:type="dxa"/>
          </w:tcPr>
          <w:p>
            <w:pPr>
              <w:pStyle w:val="TableParagraph"/>
              <w:spacing w:before="61"/>
              <w:ind w:left="249"/>
              <w:rPr>
                <w:sz w:val="22"/>
              </w:rPr>
            </w:pPr>
            <w:r>
              <w:rPr>
                <w:w w:val="110"/>
                <w:sz w:val="22"/>
              </w:rPr>
              <w:t>Confirmed your pick-up address on the web (by early December 2019)?</w:t>
            </w:r>
          </w:p>
        </w:tc>
        <w:tc>
          <w:tcPr>
            <w:tcW w:w="747" w:type="dxa"/>
          </w:tcPr>
          <w:p>
            <w:pPr>
              <w:pStyle w:val="TableParagraph"/>
              <w:rPr>
                <w:sz w:val="22"/>
              </w:rPr>
            </w:pPr>
          </w:p>
        </w:tc>
      </w:tr>
      <w:tr>
        <w:trPr>
          <w:trHeight w:val="373" w:hRule="atLeast"/>
        </w:trPr>
        <w:tc>
          <w:tcPr>
            <w:tcW w:w="8542" w:type="dxa"/>
          </w:tcPr>
          <w:p>
            <w:pPr>
              <w:pStyle w:val="TableParagraph"/>
              <w:spacing w:before="61"/>
              <w:ind w:left="249"/>
              <w:rPr>
                <w:sz w:val="22"/>
              </w:rPr>
            </w:pPr>
            <w:r>
              <w:rPr>
                <w:w w:val="110"/>
                <w:sz w:val="22"/>
              </w:rPr>
              <w:t>Checked your access to the web prior to results entry?</w:t>
            </w:r>
          </w:p>
        </w:tc>
        <w:tc>
          <w:tcPr>
            <w:tcW w:w="747" w:type="dxa"/>
          </w:tcPr>
          <w:p>
            <w:pPr>
              <w:pStyle w:val="TableParagraph"/>
              <w:rPr>
                <w:sz w:val="22"/>
              </w:rPr>
            </w:pPr>
          </w:p>
        </w:tc>
      </w:tr>
      <w:tr>
        <w:trPr>
          <w:trHeight w:val="371" w:hRule="atLeast"/>
        </w:trPr>
        <w:tc>
          <w:tcPr>
            <w:tcW w:w="8542" w:type="dxa"/>
          </w:tcPr>
          <w:p>
            <w:pPr>
              <w:pStyle w:val="TableParagraph"/>
              <w:spacing w:before="61"/>
              <w:ind w:left="249"/>
              <w:rPr>
                <w:sz w:val="22"/>
              </w:rPr>
            </w:pPr>
            <w:r>
              <w:rPr>
                <w:w w:val="110"/>
                <w:sz w:val="22"/>
              </w:rPr>
              <w:t>Checked</w:t>
            </w:r>
            <w:r>
              <w:rPr>
                <w:spacing w:val="-22"/>
                <w:w w:val="110"/>
                <w:sz w:val="22"/>
              </w:rPr>
              <w:t> </w:t>
            </w:r>
            <w:r>
              <w:rPr>
                <w:w w:val="110"/>
                <w:sz w:val="22"/>
              </w:rPr>
              <w:t>the</w:t>
            </w:r>
            <w:r>
              <w:rPr>
                <w:spacing w:val="-20"/>
                <w:w w:val="110"/>
                <w:sz w:val="22"/>
              </w:rPr>
              <w:t> </w:t>
            </w:r>
            <w:r>
              <w:rPr>
                <w:w w:val="110"/>
                <w:sz w:val="22"/>
              </w:rPr>
              <w:t>receipt</w:t>
            </w:r>
            <w:r>
              <w:rPr>
                <w:spacing w:val="-18"/>
                <w:w w:val="110"/>
                <w:sz w:val="22"/>
              </w:rPr>
              <w:t> </w:t>
            </w:r>
            <w:r>
              <w:rPr>
                <w:w w:val="110"/>
                <w:sz w:val="22"/>
              </w:rPr>
              <w:t>of</w:t>
            </w:r>
            <w:r>
              <w:rPr>
                <w:spacing w:val="-16"/>
                <w:w w:val="110"/>
                <w:sz w:val="22"/>
              </w:rPr>
              <w:t> </w:t>
            </w:r>
            <w:r>
              <w:rPr>
                <w:w w:val="110"/>
                <w:sz w:val="22"/>
              </w:rPr>
              <w:t>portfolios</w:t>
            </w:r>
            <w:r>
              <w:rPr>
                <w:spacing w:val="-18"/>
                <w:w w:val="110"/>
                <w:sz w:val="22"/>
              </w:rPr>
              <w:t> </w:t>
            </w:r>
            <w:r>
              <w:rPr>
                <w:w w:val="110"/>
                <w:sz w:val="22"/>
              </w:rPr>
              <w:t>against</w:t>
            </w:r>
            <w:r>
              <w:rPr>
                <w:spacing w:val="-19"/>
                <w:w w:val="110"/>
                <w:sz w:val="22"/>
              </w:rPr>
              <w:t> </w:t>
            </w:r>
            <w:r>
              <w:rPr>
                <w:w w:val="110"/>
                <w:sz w:val="22"/>
              </w:rPr>
              <w:t>the</w:t>
            </w:r>
            <w:r>
              <w:rPr>
                <w:spacing w:val="-19"/>
                <w:w w:val="110"/>
                <w:sz w:val="22"/>
              </w:rPr>
              <w:t> </w:t>
            </w:r>
            <w:r>
              <w:rPr>
                <w:w w:val="110"/>
                <w:sz w:val="22"/>
              </w:rPr>
              <w:t>Answer</w:t>
            </w:r>
            <w:r>
              <w:rPr>
                <w:spacing w:val="-16"/>
                <w:w w:val="110"/>
                <w:sz w:val="22"/>
              </w:rPr>
              <w:t> </w:t>
            </w:r>
            <w:r>
              <w:rPr>
                <w:w w:val="110"/>
                <w:sz w:val="22"/>
              </w:rPr>
              <w:t>Booklet</w:t>
            </w:r>
            <w:r>
              <w:rPr>
                <w:spacing w:val="-18"/>
                <w:w w:val="110"/>
                <w:sz w:val="22"/>
              </w:rPr>
              <w:t> </w:t>
            </w:r>
            <w:r>
              <w:rPr>
                <w:w w:val="110"/>
                <w:sz w:val="22"/>
              </w:rPr>
              <w:t>Control</w:t>
            </w:r>
            <w:r>
              <w:rPr>
                <w:spacing w:val="-19"/>
                <w:w w:val="110"/>
                <w:sz w:val="22"/>
              </w:rPr>
              <w:t> </w:t>
            </w:r>
            <w:r>
              <w:rPr>
                <w:w w:val="110"/>
                <w:sz w:val="22"/>
              </w:rPr>
              <w:t>Sheets</w:t>
            </w:r>
            <w:r>
              <w:rPr>
                <w:spacing w:val="-19"/>
                <w:w w:val="110"/>
                <w:sz w:val="22"/>
              </w:rPr>
              <w:t> </w:t>
            </w:r>
            <w:r>
              <w:rPr>
                <w:w w:val="110"/>
                <w:sz w:val="22"/>
              </w:rPr>
              <w:t>(ABCS)?</w:t>
            </w:r>
          </w:p>
        </w:tc>
        <w:tc>
          <w:tcPr>
            <w:tcW w:w="747" w:type="dxa"/>
          </w:tcPr>
          <w:p>
            <w:pPr>
              <w:pStyle w:val="TableParagraph"/>
              <w:rPr>
                <w:sz w:val="22"/>
              </w:rPr>
            </w:pPr>
          </w:p>
        </w:tc>
      </w:tr>
      <w:tr>
        <w:trPr>
          <w:trHeight w:val="374" w:hRule="atLeast"/>
        </w:trPr>
        <w:tc>
          <w:tcPr>
            <w:tcW w:w="8542" w:type="dxa"/>
          </w:tcPr>
          <w:p>
            <w:pPr>
              <w:pStyle w:val="TableParagraph"/>
              <w:spacing w:before="61"/>
              <w:ind w:left="249"/>
              <w:rPr>
                <w:sz w:val="22"/>
              </w:rPr>
            </w:pPr>
            <w:r>
              <w:rPr>
                <w:w w:val="110"/>
                <w:sz w:val="22"/>
              </w:rPr>
              <w:t>Returned any incorrectly delivered boxes.</w:t>
            </w:r>
          </w:p>
        </w:tc>
        <w:tc>
          <w:tcPr>
            <w:tcW w:w="747" w:type="dxa"/>
          </w:tcPr>
          <w:p>
            <w:pPr>
              <w:pStyle w:val="TableParagraph"/>
              <w:rPr>
                <w:sz w:val="22"/>
              </w:rPr>
            </w:pPr>
          </w:p>
        </w:tc>
      </w:tr>
      <w:tr>
        <w:trPr>
          <w:trHeight w:val="371" w:hRule="atLeast"/>
        </w:trPr>
        <w:tc>
          <w:tcPr>
            <w:tcW w:w="8542" w:type="dxa"/>
          </w:tcPr>
          <w:p>
            <w:pPr>
              <w:pStyle w:val="TableParagraph"/>
              <w:spacing w:before="61"/>
              <w:ind w:left="249"/>
              <w:rPr>
                <w:sz w:val="22"/>
              </w:rPr>
            </w:pPr>
            <w:r>
              <w:rPr>
                <w:w w:val="110"/>
                <w:sz w:val="22"/>
              </w:rPr>
              <w:t>Assessed all work.</w:t>
            </w:r>
          </w:p>
        </w:tc>
        <w:tc>
          <w:tcPr>
            <w:tcW w:w="747" w:type="dxa"/>
          </w:tcPr>
          <w:p>
            <w:pPr>
              <w:pStyle w:val="TableParagraph"/>
              <w:rPr>
                <w:sz w:val="22"/>
              </w:rPr>
            </w:pPr>
          </w:p>
        </w:tc>
      </w:tr>
      <w:tr>
        <w:trPr>
          <w:trHeight w:val="625" w:hRule="atLeast"/>
        </w:trPr>
        <w:tc>
          <w:tcPr>
            <w:tcW w:w="8542" w:type="dxa"/>
          </w:tcPr>
          <w:p>
            <w:pPr>
              <w:pStyle w:val="TableParagraph"/>
              <w:spacing w:before="63"/>
              <w:ind w:left="249"/>
              <w:rPr>
                <w:sz w:val="22"/>
              </w:rPr>
            </w:pPr>
            <w:r>
              <w:rPr>
                <w:w w:val="110"/>
                <w:sz w:val="22"/>
              </w:rPr>
              <w:t>Place all hand-written assessment envelopes into a small pre-labelled courier bag to send back to NZQA.</w:t>
            </w:r>
          </w:p>
        </w:tc>
        <w:tc>
          <w:tcPr>
            <w:tcW w:w="747" w:type="dxa"/>
          </w:tcPr>
          <w:p>
            <w:pPr>
              <w:pStyle w:val="TableParagraph"/>
              <w:rPr>
                <w:sz w:val="22"/>
              </w:rPr>
            </w:pPr>
          </w:p>
        </w:tc>
      </w:tr>
      <w:tr>
        <w:trPr>
          <w:trHeight w:val="374" w:hRule="atLeast"/>
        </w:trPr>
        <w:tc>
          <w:tcPr>
            <w:tcW w:w="8542" w:type="dxa"/>
          </w:tcPr>
          <w:p>
            <w:pPr>
              <w:pStyle w:val="TableParagraph"/>
              <w:spacing w:before="63"/>
              <w:ind w:left="249"/>
              <w:rPr>
                <w:sz w:val="22"/>
              </w:rPr>
            </w:pPr>
            <w:r>
              <w:rPr>
                <w:w w:val="105"/>
                <w:sz w:val="22"/>
              </w:rPr>
              <w:t>Removed all Post-it stickers from portfolios?</w:t>
            </w:r>
          </w:p>
        </w:tc>
        <w:tc>
          <w:tcPr>
            <w:tcW w:w="747" w:type="dxa"/>
          </w:tcPr>
          <w:p>
            <w:pPr>
              <w:pStyle w:val="TableParagraph"/>
              <w:rPr>
                <w:sz w:val="22"/>
              </w:rPr>
            </w:pPr>
          </w:p>
        </w:tc>
      </w:tr>
      <w:tr>
        <w:trPr>
          <w:trHeight w:val="373" w:hRule="atLeast"/>
        </w:trPr>
        <w:tc>
          <w:tcPr>
            <w:tcW w:w="8542" w:type="dxa"/>
          </w:tcPr>
          <w:p>
            <w:pPr>
              <w:pStyle w:val="TableParagraph"/>
              <w:spacing w:before="61"/>
              <w:ind w:left="249"/>
              <w:rPr>
                <w:sz w:val="22"/>
              </w:rPr>
            </w:pPr>
            <w:r>
              <w:rPr>
                <w:w w:val="110"/>
                <w:sz w:val="22"/>
              </w:rPr>
              <w:t>Placed candidate portfolios into courier boxes with Bluestar return address?</w:t>
            </w:r>
          </w:p>
        </w:tc>
        <w:tc>
          <w:tcPr>
            <w:tcW w:w="747" w:type="dxa"/>
          </w:tcPr>
          <w:p>
            <w:pPr>
              <w:pStyle w:val="TableParagraph"/>
              <w:rPr>
                <w:sz w:val="22"/>
              </w:rPr>
            </w:pPr>
          </w:p>
        </w:tc>
      </w:tr>
      <w:tr>
        <w:trPr>
          <w:trHeight w:val="371" w:hRule="atLeast"/>
        </w:trPr>
        <w:tc>
          <w:tcPr>
            <w:tcW w:w="8542" w:type="dxa"/>
          </w:tcPr>
          <w:p>
            <w:pPr>
              <w:pStyle w:val="TableParagraph"/>
              <w:spacing w:before="61"/>
              <w:ind w:left="249"/>
              <w:rPr>
                <w:sz w:val="22"/>
              </w:rPr>
            </w:pPr>
            <w:r>
              <w:rPr>
                <w:w w:val="110"/>
                <w:sz w:val="22"/>
              </w:rPr>
              <w:t>Recorded all results on the ABCS.</w:t>
            </w:r>
          </w:p>
        </w:tc>
        <w:tc>
          <w:tcPr>
            <w:tcW w:w="747" w:type="dxa"/>
          </w:tcPr>
          <w:p>
            <w:pPr>
              <w:pStyle w:val="TableParagraph"/>
              <w:rPr>
                <w:sz w:val="22"/>
              </w:rPr>
            </w:pPr>
          </w:p>
        </w:tc>
      </w:tr>
      <w:tr>
        <w:trPr>
          <w:trHeight w:val="374" w:hRule="atLeast"/>
        </w:trPr>
        <w:tc>
          <w:tcPr>
            <w:tcW w:w="8542" w:type="dxa"/>
          </w:tcPr>
          <w:p>
            <w:pPr>
              <w:pStyle w:val="TableParagraph"/>
              <w:spacing w:before="61"/>
              <w:ind w:left="249"/>
              <w:rPr>
                <w:sz w:val="22"/>
              </w:rPr>
            </w:pPr>
            <w:r>
              <w:rPr>
                <w:w w:val="110"/>
                <w:sz w:val="22"/>
              </w:rPr>
              <w:t>Attached the Return Customer Tab to the ABCS.</w:t>
            </w:r>
          </w:p>
        </w:tc>
        <w:tc>
          <w:tcPr>
            <w:tcW w:w="747" w:type="dxa"/>
          </w:tcPr>
          <w:p>
            <w:pPr>
              <w:pStyle w:val="TableParagraph"/>
              <w:rPr>
                <w:sz w:val="22"/>
              </w:rPr>
            </w:pPr>
          </w:p>
        </w:tc>
      </w:tr>
      <w:tr>
        <w:trPr>
          <w:trHeight w:val="371" w:hRule="atLeast"/>
        </w:trPr>
        <w:tc>
          <w:tcPr>
            <w:tcW w:w="8542" w:type="dxa"/>
          </w:tcPr>
          <w:p>
            <w:pPr>
              <w:pStyle w:val="TableParagraph"/>
              <w:spacing w:before="61"/>
              <w:ind w:left="249"/>
              <w:rPr>
                <w:sz w:val="22"/>
              </w:rPr>
            </w:pPr>
            <w:r>
              <w:rPr>
                <w:w w:val="110"/>
                <w:sz w:val="22"/>
              </w:rPr>
              <w:t>Double entered all results.</w:t>
            </w:r>
          </w:p>
        </w:tc>
        <w:tc>
          <w:tcPr>
            <w:tcW w:w="747" w:type="dxa"/>
          </w:tcPr>
          <w:p>
            <w:pPr>
              <w:pStyle w:val="TableParagraph"/>
              <w:rPr>
                <w:sz w:val="22"/>
              </w:rPr>
            </w:pPr>
          </w:p>
        </w:tc>
      </w:tr>
      <w:tr>
        <w:trPr>
          <w:trHeight w:val="374" w:hRule="atLeast"/>
        </w:trPr>
        <w:tc>
          <w:tcPr>
            <w:tcW w:w="8542" w:type="dxa"/>
          </w:tcPr>
          <w:p>
            <w:pPr>
              <w:pStyle w:val="TableParagraph"/>
              <w:spacing w:before="63"/>
              <w:ind w:left="249"/>
              <w:rPr>
                <w:sz w:val="22"/>
              </w:rPr>
            </w:pPr>
            <w:r>
              <w:rPr>
                <w:w w:val="105"/>
                <w:sz w:val="22"/>
              </w:rPr>
              <w:t>Returned all ABCS to NZQA in the small courier bag.</w:t>
            </w:r>
          </w:p>
        </w:tc>
        <w:tc>
          <w:tcPr>
            <w:tcW w:w="747" w:type="dxa"/>
          </w:tcPr>
          <w:p>
            <w:pPr>
              <w:pStyle w:val="TableParagraph"/>
              <w:rPr>
                <w:sz w:val="22"/>
              </w:rPr>
            </w:pPr>
          </w:p>
        </w:tc>
      </w:tr>
      <w:tr>
        <w:trPr>
          <w:trHeight w:val="371" w:hRule="atLeast"/>
        </w:trPr>
        <w:tc>
          <w:tcPr>
            <w:tcW w:w="8542" w:type="dxa"/>
          </w:tcPr>
          <w:p>
            <w:pPr>
              <w:pStyle w:val="TableParagraph"/>
              <w:spacing w:before="61"/>
              <w:ind w:left="249"/>
              <w:rPr>
                <w:sz w:val="22"/>
              </w:rPr>
            </w:pPr>
            <w:r>
              <w:rPr>
                <w:w w:val="110"/>
                <w:sz w:val="22"/>
              </w:rPr>
              <w:t>Retained the Customer Tab for the ABCS return courier bag.</w:t>
            </w:r>
          </w:p>
        </w:tc>
        <w:tc>
          <w:tcPr>
            <w:tcW w:w="747" w:type="dxa"/>
          </w:tcPr>
          <w:p>
            <w:pPr>
              <w:pStyle w:val="TableParagraph"/>
              <w:rPr>
                <w:sz w:val="22"/>
              </w:rPr>
            </w:pPr>
          </w:p>
        </w:tc>
      </w:tr>
      <w:tr>
        <w:trPr>
          <w:trHeight w:val="373" w:hRule="atLeast"/>
        </w:trPr>
        <w:tc>
          <w:tcPr>
            <w:tcW w:w="8542" w:type="dxa"/>
          </w:tcPr>
          <w:p>
            <w:pPr>
              <w:pStyle w:val="TableParagraph"/>
              <w:spacing w:before="63"/>
              <w:ind w:left="249"/>
              <w:rPr>
                <w:sz w:val="22"/>
              </w:rPr>
            </w:pPr>
            <w:r>
              <w:rPr>
                <w:w w:val="110"/>
                <w:sz w:val="22"/>
              </w:rPr>
              <w:t>Returned all unused materials to NZQA?</w:t>
            </w:r>
          </w:p>
        </w:tc>
        <w:tc>
          <w:tcPr>
            <w:tcW w:w="747" w:type="dxa"/>
          </w:tcPr>
          <w:p>
            <w:pPr>
              <w:pStyle w:val="TableParagraph"/>
              <w:rPr>
                <w:sz w:val="22"/>
              </w:rPr>
            </w:pPr>
          </w:p>
        </w:tc>
      </w:tr>
      <w:tr>
        <w:trPr>
          <w:trHeight w:val="374" w:hRule="atLeast"/>
        </w:trPr>
        <w:tc>
          <w:tcPr>
            <w:tcW w:w="8542" w:type="dxa"/>
          </w:tcPr>
          <w:p>
            <w:pPr>
              <w:pStyle w:val="TableParagraph"/>
              <w:spacing w:before="61"/>
              <w:ind w:left="249"/>
              <w:rPr>
                <w:sz w:val="22"/>
              </w:rPr>
            </w:pPr>
            <w:r>
              <w:rPr>
                <w:w w:val="110"/>
                <w:sz w:val="22"/>
              </w:rPr>
              <w:t>Sent your Marker Report form to your Panel leader (by 20 December 2019)?</w:t>
            </w:r>
          </w:p>
        </w:tc>
        <w:tc>
          <w:tcPr>
            <w:tcW w:w="747" w:type="dxa"/>
          </w:tcPr>
          <w:p>
            <w:pPr>
              <w:pStyle w:val="TableParagraph"/>
              <w:rPr>
                <w:sz w:val="22"/>
              </w:rPr>
            </w:pPr>
          </w:p>
        </w:tc>
      </w:tr>
      <w:tr>
        <w:trPr>
          <w:trHeight w:val="371" w:hRule="atLeast"/>
        </w:trPr>
        <w:tc>
          <w:tcPr>
            <w:tcW w:w="8542" w:type="dxa"/>
          </w:tcPr>
          <w:p>
            <w:pPr>
              <w:pStyle w:val="TableParagraph"/>
              <w:spacing w:before="61"/>
              <w:ind w:left="249"/>
              <w:rPr>
                <w:sz w:val="22"/>
              </w:rPr>
            </w:pPr>
            <w:r>
              <w:rPr>
                <w:w w:val="110"/>
                <w:sz w:val="22"/>
              </w:rPr>
              <w:t>Completed your claim form (by 10 January 2020)?</w:t>
            </w:r>
          </w:p>
        </w:tc>
        <w:tc>
          <w:tcPr>
            <w:tcW w:w="747" w:type="dxa"/>
          </w:tcPr>
          <w:p>
            <w:pPr>
              <w:pStyle w:val="TableParagraph"/>
              <w:rPr>
                <w:sz w:val="22"/>
              </w:rPr>
            </w:pPr>
          </w:p>
        </w:tc>
      </w:tr>
    </w:tbl>
    <w:p>
      <w:pPr>
        <w:spacing w:after="0"/>
        <w:rPr>
          <w:sz w:val="22"/>
        </w:rPr>
        <w:sectPr>
          <w:footerReference w:type="default" r:id="rId38"/>
          <w:pgSz w:w="11910" w:h="16840"/>
          <w:pgMar w:footer="642" w:header="0" w:top="1040" w:bottom="840" w:left="1020" w:right="760"/>
          <w:pgNumType w:start="42"/>
        </w:sectPr>
      </w:pPr>
    </w:p>
    <w:p>
      <w:pPr>
        <w:pStyle w:val="Heading2"/>
        <w:tabs>
          <w:tab w:pos="2241" w:val="left" w:leader="none"/>
        </w:tabs>
        <w:ind w:left="398"/>
      </w:pPr>
      <w:r>
        <w:rPr>
          <w:color w:val="548CD4"/>
          <w:w w:val="115"/>
        </w:rPr>
        <w:t>Appendix</w:t>
      </w:r>
      <w:r>
        <w:rPr>
          <w:color w:val="548CD4"/>
          <w:spacing w:val="-2"/>
          <w:w w:val="115"/>
        </w:rPr>
        <w:t> </w:t>
      </w:r>
      <w:r>
        <w:rPr>
          <w:color w:val="548CD4"/>
          <w:w w:val="115"/>
        </w:rPr>
        <w:t>E:</w:t>
        <w:tab/>
        <w:t>Panel Leader Check</w:t>
      </w:r>
      <w:r>
        <w:rPr>
          <w:color w:val="548CD4"/>
          <w:spacing w:val="4"/>
          <w:w w:val="115"/>
        </w:rPr>
        <w:t> </w:t>
      </w:r>
      <w:r>
        <w:rPr>
          <w:color w:val="548CD4"/>
          <w:w w:val="115"/>
        </w:rPr>
        <w:t>List</w:t>
      </w:r>
    </w:p>
    <w:p>
      <w:pPr>
        <w:pStyle w:val="BodyText"/>
        <w:rPr>
          <w:sz w:val="20"/>
        </w:rPr>
      </w:pPr>
    </w:p>
    <w:p>
      <w:pPr>
        <w:pStyle w:val="BodyText"/>
        <w:spacing w:before="6"/>
        <w:rPr>
          <w:sz w:val="12"/>
        </w:rPr>
      </w:pPr>
    </w:p>
    <w:tbl>
      <w:tblPr>
        <w:tblW w:w="0" w:type="auto"/>
        <w:jc w:val="left"/>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5"/>
        <w:gridCol w:w="852"/>
      </w:tblGrid>
      <w:tr>
        <w:trPr>
          <w:trHeight w:val="333" w:hRule="atLeast"/>
        </w:trPr>
        <w:tc>
          <w:tcPr>
            <w:tcW w:w="8755" w:type="dxa"/>
            <w:shd w:val="clear" w:color="auto" w:fill="FFBF00"/>
          </w:tcPr>
          <w:p>
            <w:pPr>
              <w:pStyle w:val="TableParagraph"/>
              <w:spacing w:before="41"/>
              <w:ind w:left="249"/>
              <w:rPr>
                <w:sz w:val="22"/>
              </w:rPr>
            </w:pPr>
            <w:r>
              <w:rPr>
                <w:w w:val="120"/>
                <w:sz w:val="22"/>
              </w:rPr>
              <w:t>At the Benchmarking Meeting</w:t>
            </w:r>
          </w:p>
        </w:tc>
        <w:tc>
          <w:tcPr>
            <w:tcW w:w="852" w:type="dxa"/>
            <w:shd w:val="clear" w:color="auto" w:fill="91CF50"/>
          </w:tcPr>
          <w:p>
            <w:pPr>
              <w:pStyle w:val="TableParagraph"/>
              <w:spacing w:before="37"/>
              <w:ind w:left="290"/>
              <w:rPr>
                <w:sz w:val="22"/>
              </w:rPr>
            </w:pPr>
            <w:r>
              <w:rPr>
                <w:w w:val="101"/>
                <w:sz w:val="22"/>
              </w:rPr>
              <w:t></w:t>
            </w:r>
          </w:p>
        </w:tc>
      </w:tr>
      <w:tr>
        <w:trPr>
          <w:trHeight w:val="373" w:hRule="atLeast"/>
        </w:trPr>
        <w:tc>
          <w:tcPr>
            <w:tcW w:w="8755" w:type="dxa"/>
          </w:tcPr>
          <w:p>
            <w:pPr>
              <w:pStyle w:val="TableParagraph"/>
              <w:spacing w:before="61"/>
              <w:ind w:left="249"/>
              <w:rPr>
                <w:sz w:val="22"/>
              </w:rPr>
            </w:pPr>
            <w:r>
              <w:rPr>
                <w:w w:val="115"/>
                <w:sz w:val="22"/>
              </w:rPr>
              <w:t>Have you …</w:t>
            </w:r>
          </w:p>
        </w:tc>
        <w:tc>
          <w:tcPr>
            <w:tcW w:w="852" w:type="dxa"/>
          </w:tcPr>
          <w:p>
            <w:pPr>
              <w:pStyle w:val="TableParagraph"/>
              <w:rPr>
                <w:sz w:val="22"/>
              </w:rPr>
            </w:pPr>
          </w:p>
        </w:tc>
      </w:tr>
      <w:tr>
        <w:trPr>
          <w:trHeight w:val="371" w:hRule="atLeast"/>
        </w:trPr>
        <w:tc>
          <w:tcPr>
            <w:tcW w:w="8755" w:type="dxa"/>
          </w:tcPr>
          <w:p>
            <w:pPr>
              <w:pStyle w:val="TableParagraph"/>
              <w:spacing w:before="61"/>
              <w:ind w:left="249"/>
              <w:rPr>
                <w:sz w:val="22"/>
              </w:rPr>
            </w:pPr>
            <w:r>
              <w:rPr>
                <w:w w:val="110"/>
                <w:sz w:val="22"/>
              </w:rPr>
              <w:t>Photocopied/scanned (or have photocopied for you):</w:t>
            </w:r>
          </w:p>
        </w:tc>
        <w:tc>
          <w:tcPr>
            <w:tcW w:w="852" w:type="dxa"/>
          </w:tcPr>
          <w:p>
            <w:pPr>
              <w:pStyle w:val="TableParagraph"/>
              <w:rPr>
                <w:sz w:val="22"/>
              </w:rPr>
            </w:pPr>
          </w:p>
        </w:tc>
      </w:tr>
      <w:tr>
        <w:trPr>
          <w:trHeight w:val="374" w:hRule="atLeast"/>
        </w:trPr>
        <w:tc>
          <w:tcPr>
            <w:tcW w:w="8755" w:type="dxa"/>
          </w:tcPr>
          <w:p>
            <w:pPr>
              <w:pStyle w:val="TableParagraph"/>
              <w:tabs>
                <w:tab w:pos="959" w:val="left" w:leader="none"/>
              </w:tabs>
              <w:spacing w:before="61"/>
              <w:ind w:left="599"/>
              <w:rPr>
                <w:sz w:val="22"/>
              </w:rPr>
            </w:pPr>
            <w:r>
              <w:rPr>
                <w:sz w:val="20"/>
              </w:rPr>
              <w:t>□</w:t>
              <w:tab/>
            </w:r>
            <w:r>
              <w:rPr>
                <w:sz w:val="22"/>
              </w:rPr>
              <w:t>benchmark</w:t>
            </w:r>
            <w:r>
              <w:rPr>
                <w:spacing w:val="7"/>
                <w:sz w:val="22"/>
              </w:rPr>
              <w:t> </w:t>
            </w:r>
            <w:r>
              <w:rPr>
                <w:sz w:val="22"/>
              </w:rPr>
              <w:t>portfolios?</w:t>
            </w:r>
          </w:p>
        </w:tc>
        <w:tc>
          <w:tcPr>
            <w:tcW w:w="852" w:type="dxa"/>
          </w:tcPr>
          <w:p>
            <w:pPr>
              <w:pStyle w:val="TableParagraph"/>
              <w:rPr>
                <w:sz w:val="22"/>
              </w:rPr>
            </w:pPr>
          </w:p>
        </w:tc>
      </w:tr>
      <w:tr>
        <w:trPr>
          <w:trHeight w:val="371" w:hRule="atLeast"/>
        </w:trPr>
        <w:tc>
          <w:tcPr>
            <w:tcW w:w="8755" w:type="dxa"/>
          </w:tcPr>
          <w:p>
            <w:pPr>
              <w:pStyle w:val="TableParagraph"/>
              <w:tabs>
                <w:tab w:pos="959" w:val="left" w:leader="none"/>
              </w:tabs>
              <w:spacing w:before="61"/>
              <w:ind w:left="599"/>
              <w:rPr>
                <w:sz w:val="22"/>
              </w:rPr>
            </w:pPr>
            <w:r>
              <w:rPr>
                <w:w w:val="105"/>
                <w:sz w:val="20"/>
              </w:rPr>
              <w:t>□</w:t>
              <w:tab/>
            </w:r>
            <w:r>
              <w:rPr>
                <w:w w:val="105"/>
                <w:sz w:val="22"/>
              </w:rPr>
              <w:t>Assessment envelopes on coloured</w:t>
            </w:r>
            <w:r>
              <w:rPr>
                <w:spacing w:val="34"/>
                <w:w w:val="105"/>
                <w:sz w:val="22"/>
              </w:rPr>
              <w:t> </w:t>
            </w:r>
            <w:r>
              <w:rPr>
                <w:w w:val="105"/>
                <w:sz w:val="22"/>
              </w:rPr>
              <w:t>sheets?</w:t>
            </w:r>
          </w:p>
        </w:tc>
        <w:tc>
          <w:tcPr>
            <w:tcW w:w="852" w:type="dxa"/>
          </w:tcPr>
          <w:p>
            <w:pPr>
              <w:pStyle w:val="TableParagraph"/>
              <w:rPr>
                <w:sz w:val="22"/>
              </w:rPr>
            </w:pPr>
          </w:p>
        </w:tc>
      </w:tr>
      <w:tr>
        <w:trPr>
          <w:trHeight w:val="373" w:hRule="atLeast"/>
        </w:trPr>
        <w:tc>
          <w:tcPr>
            <w:tcW w:w="8755" w:type="dxa"/>
          </w:tcPr>
          <w:p>
            <w:pPr>
              <w:pStyle w:val="TableParagraph"/>
              <w:tabs>
                <w:tab w:pos="959" w:val="left" w:leader="none"/>
              </w:tabs>
              <w:spacing w:before="61"/>
              <w:ind w:left="599"/>
              <w:rPr>
                <w:sz w:val="22"/>
              </w:rPr>
            </w:pPr>
            <w:r>
              <w:rPr>
                <w:sz w:val="20"/>
              </w:rPr>
              <w:t>□</w:t>
              <w:tab/>
            </w:r>
            <w:r>
              <w:rPr>
                <w:sz w:val="22"/>
              </w:rPr>
              <w:t>timelines?</w:t>
            </w:r>
          </w:p>
        </w:tc>
        <w:tc>
          <w:tcPr>
            <w:tcW w:w="852" w:type="dxa"/>
          </w:tcPr>
          <w:p>
            <w:pPr>
              <w:pStyle w:val="TableParagraph"/>
              <w:rPr>
                <w:sz w:val="22"/>
              </w:rPr>
            </w:pPr>
          </w:p>
        </w:tc>
      </w:tr>
      <w:tr>
        <w:trPr>
          <w:trHeight w:val="371" w:hRule="atLeast"/>
        </w:trPr>
        <w:tc>
          <w:tcPr>
            <w:tcW w:w="8755" w:type="dxa"/>
            <w:shd w:val="clear" w:color="auto" w:fill="FFBF00"/>
          </w:tcPr>
          <w:p>
            <w:pPr>
              <w:pStyle w:val="TableParagraph"/>
              <w:spacing w:before="61"/>
              <w:ind w:left="249"/>
              <w:rPr>
                <w:sz w:val="22"/>
              </w:rPr>
            </w:pPr>
            <w:r>
              <w:rPr>
                <w:w w:val="115"/>
                <w:sz w:val="22"/>
              </w:rPr>
              <w:t>At the Panel Meeting/Marker Training</w:t>
            </w:r>
          </w:p>
        </w:tc>
        <w:tc>
          <w:tcPr>
            <w:tcW w:w="852" w:type="dxa"/>
            <w:shd w:val="clear" w:color="auto" w:fill="91CF50"/>
          </w:tcPr>
          <w:p>
            <w:pPr>
              <w:pStyle w:val="TableParagraph"/>
              <w:spacing w:before="56"/>
              <w:ind w:left="290"/>
              <w:rPr>
                <w:sz w:val="22"/>
              </w:rPr>
            </w:pPr>
            <w:r>
              <w:rPr>
                <w:w w:val="101"/>
                <w:sz w:val="22"/>
              </w:rPr>
              <w:t></w:t>
            </w:r>
          </w:p>
        </w:tc>
      </w:tr>
      <w:tr>
        <w:trPr>
          <w:trHeight w:val="373" w:hRule="atLeast"/>
        </w:trPr>
        <w:tc>
          <w:tcPr>
            <w:tcW w:w="8755" w:type="dxa"/>
          </w:tcPr>
          <w:p>
            <w:pPr>
              <w:pStyle w:val="TableParagraph"/>
              <w:spacing w:before="63"/>
              <w:ind w:left="249"/>
              <w:rPr>
                <w:sz w:val="22"/>
              </w:rPr>
            </w:pPr>
            <w:r>
              <w:rPr>
                <w:w w:val="115"/>
                <w:sz w:val="22"/>
              </w:rPr>
              <w:t>Have you …</w:t>
            </w:r>
          </w:p>
        </w:tc>
        <w:tc>
          <w:tcPr>
            <w:tcW w:w="852" w:type="dxa"/>
          </w:tcPr>
          <w:p>
            <w:pPr>
              <w:pStyle w:val="TableParagraph"/>
              <w:rPr>
                <w:sz w:val="22"/>
              </w:rPr>
            </w:pPr>
          </w:p>
        </w:tc>
      </w:tr>
      <w:tr>
        <w:trPr>
          <w:trHeight w:val="374" w:hRule="atLeast"/>
        </w:trPr>
        <w:tc>
          <w:tcPr>
            <w:tcW w:w="8755" w:type="dxa"/>
          </w:tcPr>
          <w:p>
            <w:pPr>
              <w:pStyle w:val="TableParagraph"/>
              <w:tabs>
                <w:tab w:pos="959" w:val="left" w:leader="none"/>
              </w:tabs>
              <w:spacing w:before="61"/>
              <w:ind w:left="599"/>
              <w:rPr>
                <w:sz w:val="22"/>
              </w:rPr>
            </w:pPr>
            <w:r>
              <w:rPr>
                <w:w w:val="105"/>
                <w:sz w:val="20"/>
              </w:rPr>
              <w:t>□</w:t>
              <w:tab/>
            </w:r>
            <w:r>
              <w:rPr>
                <w:w w:val="105"/>
                <w:sz w:val="22"/>
              </w:rPr>
              <w:t>issued necessary panel contact details to</w:t>
            </w:r>
            <w:r>
              <w:rPr>
                <w:spacing w:val="1"/>
                <w:w w:val="105"/>
                <w:sz w:val="22"/>
              </w:rPr>
              <w:t> </w:t>
            </w:r>
            <w:r>
              <w:rPr>
                <w:w w:val="105"/>
                <w:sz w:val="22"/>
              </w:rPr>
              <w:t>markers?</w:t>
            </w:r>
          </w:p>
        </w:tc>
        <w:tc>
          <w:tcPr>
            <w:tcW w:w="852" w:type="dxa"/>
          </w:tcPr>
          <w:p>
            <w:pPr>
              <w:pStyle w:val="TableParagraph"/>
              <w:rPr>
                <w:sz w:val="22"/>
              </w:rPr>
            </w:pPr>
          </w:p>
        </w:tc>
      </w:tr>
      <w:tr>
        <w:trPr>
          <w:trHeight w:val="371" w:hRule="atLeast"/>
        </w:trPr>
        <w:tc>
          <w:tcPr>
            <w:tcW w:w="8755" w:type="dxa"/>
          </w:tcPr>
          <w:p>
            <w:pPr>
              <w:pStyle w:val="TableParagraph"/>
              <w:tabs>
                <w:tab w:pos="959" w:val="left" w:leader="none"/>
              </w:tabs>
              <w:spacing w:before="61"/>
              <w:ind w:left="599"/>
              <w:rPr>
                <w:sz w:val="22"/>
              </w:rPr>
            </w:pPr>
            <w:r>
              <w:rPr>
                <w:w w:val="105"/>
                <w:sz w:val="20"/>
              </w:rPr>
              <w:t>□</w:t>
              <w:tab/>
            </w:r>
            <w:r>
              <w:rPr>
                <w:w w:val="105"/>
                <w:sz w:val="22"/>
              </w:rPr>
              <w:t>provided</w:t>
            </w:r>
            <w:r>
              <w:rPr>
                <w:spacing w:val="10"/>
                <w:w w:val="105"/>
                <w:sz w:val="22"/>
              </w:rPr>
              <w:t> </w:t>
            </w:r>
            <w:r>
              <w:rPr>
                <w:w w:val="105"/>
                <w:sz w:val="22"/>
              </w:rPr>
              <w:t>markers</w:t>
            </w:r>
            <w:r>
              <w:rPr>
                <w:spacing w:val="10"/>
                <w:w w:val="105"/>
                <w:sz w:val="22"/>
              </w:rPr>
              <w:t> </w:t>
            </w:r>
            <w:r>
              <w:rPr>
                <w:w w:val="105"/>
                <w:sz w:val="22"/>
              </w:rPr>
              <w:t>with</w:t>
            </w:r>
            <w:r>
              <w:rPr>
                <w:spacing w:val="10"/>
                <w:w w:val="105"/>
                <w:sz w:val="22"/>
              </w:rPr>
              <w:t> </w:t>
            </w:r>
            <w:r>
              <w:rPr>
                <w:w w:val="105"/>
                <w:sz w:val="22"/>
              </w:rPr>
              <w:t>a</w:t>
            </w:r>
            <w:r>
              <w:rPr>
                <w:spacing w:val="11"/>
                <w:w w:val="105"/>
                <w:sz w:val="22"/>
              </w:rPr>
              <w:t> </w:t>
            </w:r>
            <w:r>
              <w:rPr>
                <w:w w:val="105"/>
                <w:sz w:val="22"/>
              </w:rPr>
              <w:t>completed</w:t>
            </w:r>
            <w:r>
              <w:rPr>
                <w:spacing w:val="9"/>
                <w:w w:val="105"/>
                <w:sz w:val="22"/>
              </w:rPr>
              <w:t> </w:t>
            </w:r>
            <w:r>
              <w:rPr>
                <w:w w:val="105"/>
                <w:sz w:val="22"/>
              </w:rPr>
              <w:t>copy</w:t>
            </w:r>
            <w:r>
              <w:rPr>
                <w:spacing w:val="8"/>
                <w:w w:val="105"/>
                <w:sz w:val="22"/>
              </w:rPr>
              <w:t> </w:t>
            </w:r>
            <w:r>
              <w:rPr>
                <w:w w:val="105"/>
                <w:sz w:val="22"/>
              </w:rPr>
              <w:t>of</w:t>
            </w:r>
            <w:r>
              <w:rPr>
                <w:spacing w:val="11"/>
                <w:w w:val="105"/>
                <w:sz w:val="22"/>
              </w:rPr>
              <w:t> </w:t>
            </w:r>
            <w:r>
              <w:rPr>
                <w:w w:val="105"/>
                <w:sz w:val="22"/>
              </w:rPr>
              <w:t>Appendix</w:t>
            </w:r>
            <w:r>
              <w:rPr>
                <w:spacing w:val="11"/>
                <w:w w:val="105"/>
                <w:sz w:val="22"/>
              </w:rPr>
              <w:t> </w:t>
            </w:r>
            <w:r>
              <w:rPr>
                <w:w w:val="105"/>
                <w:sz w:val="22"/>
              </w:rPr>
              <w:t>A</w:t>
            </w:r>
            <w:r>
              <w:rPr>
                <w:spacing w:val="9"/>
                <w:w w:val="105"/>
                <w:sz w:val="22"/>
              </w:rPr>
              <w:t> </w:t>
            </w:r>
            <w:r>
              <w:rPr>
                <w:w w:val="105"/>
                <w:sz w:val="22"/>
              </w:rPr>
              <w:t>(or</w:t>
            </w:r>
            <w:r>
              <w:rPr>
                <w:spacing w:val="10"/>
                <w:w w:val="105"/>
                <w:sz w:val="22"/>
              </w:rPr>
              <w:t> </w:t>
            </w:r>
            <w:r>
              <w:rPr>
                <w:w w:val="105"/>
                <w:sz w:val="22"/>
              </w:rPr>
              <w:t>own</w:t>
            </w:r>
            <w:r>
              <w:rPr>
                <w:spacing w:val="12"/>
                <w:w w:val="105"/>
                <w:sz w:val="22"/>
              </w:rPr>
              <w:t> </w:t>
            </w:r>
            <w:r>
              <w:rPr>
                <w:w w:val="105"/>
                <w:sz w:val="22"/>
              </w:rPr>
              <w:t>version)?</w:t>
            </w:r>
          </w:p>
        </w:tc>
        <w:tc>
          <w:tcPr>
            <w:tcW w:w="852" w:type="dxa"/>
          </w:tcPr>
          <w:p>
            <w:pPr>
              <w:pStyle w:val="TableParagraph"/>
              <w:rPr>
                <w:sz w:val="22"/>
              </w:rPr>
            </w:pPr>
          </w:p>
        </w:tc>
      </w:tr>
      <w:tr>
        <w:trPr>
          <w:trHeight w:val="373" w:hRule="atLeast"/>
        </w:trPr>
        <w:tc>
          <w:tcPr>
            <w:tcW w:w="8755" w:type="dxa"/>
          </w:tcPr>
          <w:p>
            <w:pPr>
              <w:pStyle w:val="TableParagraph"/>
              <w:tabs>
                <w:tab w:pos="959" w:val="left" w:leader="none"/>
              </w:tabs>
              <w:spacing w:before="61"/>
              <w:ind w:left="599"/>
              <w:rPr>
                <w:sz w:val="22"/>
              </w:rPr>
            </w:pPr>
            <w:r>
              <w:rPr>
                <w:w w:val="105"/>
                <w:sz w:val="20"/>
              </w:rPr>
              <w:t>□</w:t>
              <w:tab/>
            </w:r>
            <w:r>
              <w:rPr>
                <w:w w:val="105"/>
                <w:sz w:val="22"/>
              </w:rPr>
              <w:t>explained</w:t>
            </w:r>
            <w:r>
              <w:rPr>
                <w:spacing w:val="11"/>
                <w:w w:val="105"/>
                <w:sz w:val="22"/>
              </w:rPr>
              <w:t> </w:t>
            </w:r>
            <w:r>
              <w:rPr>
                <w:w w:val="105"/>
                <w:sz w:val="22"/>
              </w:rPr>
              <w:t>the</w:t>
            </w:r>
            <w:r>
              <w:rPr>
                <w:spacing w:val="11"/>
                <w:w w:val="105"/>
                <w:sz w:val="22"/>
              </w:rPr>
              <w:t> </w:t>
            </w:r>
            <w:r>
              <w:rPr>
                <w:w w:val="105"/>
                <w:sz w:val="22"/>
              </w:rPr>
              <w:t>use</w:t>
            </w:r>
            <w:r>
              <w:rPr>
                <w:spacing w:val="11"/>
                <w:w w:val="105"/>
                <w:sz w:val="22"/>
              </w:rPr>
              <w:t> </w:t>
            </w:r>
            <w:r>
              <w:rPr>
                <w:w w:val="105"/>
                <w:sz w:val="22"/>
              </w:rPr>
              <w:t>of</w:t>
            </w:r>
            <w:r>
              <w:rPr>
                <w:spacing w:val="12"/>
                <w:w w:val="105"/>
                <w:sz w:val="22"/>
              </w:rPr>
              <w:t> </w:t>
            </w:r>
            <w:r>
              <w:rPr>
                <w:w w:val="105"/>
                <w:sz w:val="22"/>
              </w:rPr>
              <w:t>ABCS</w:t>
            </w:r>
            <w:r>
              <w:rPr>
                <w:spacing w:val="13"/>
                <w:w w:val="105"/>
                <w:sz w:val="22"/>
              </w:rPr>
              <w:t> </w:t>
            </w:r>
            <w:r>
              <w:rPr>
                <w:w w:val="105"/>
                <w:sz w:val="22"/>
              </w:rPr>
              <w:t>and</w:t>
            </w:r>
            <w:r>
              <w:rPr>
                <w:spacing w:val="12"/>
                <w:w w:val="105"/>
                <w:sz w:val="22"/>
              </w:rPr>
              <w:t> </w:t>
            </w:r>
            <w:r>
              <w:rPr>
                <w:w w:val="105"/>
                <w:sz w:val="22"/>
              </w:rPr>
              <w:t>how</w:t>
            </w:r>
            <w:r>
              <w:rPr>
                <w:spacing w:val="8"/>
                <w:w w:val="105"/>
                <w:sz w:val="22"/>
              </w:rPr>
              <w:t> </w:t>
            </w:r>
            <w:r>
              <w:rPr>
                <w:w w:val="105"/>
                <w:sz w:val="22"/>
              </w:rPr>
              <w:t>they</w:t>
            </w:r>
            <w:r>
              <w:rPr>
                <w:spacing w:val="11"/>
                <w:w w:val="105"/>
                <w:sz w:val="22"/>
              </w:rPr>
              <w:t> </w:t>
            </w:r>
            <w:r>
              <w:rPr>
                <w:w w:val="105"/>
                <w:sz w:val="22"/>
              </w:rPr>
              <w:t>must</w:t>
            </w:r>
            <w:r>
              <w:rPr>
                <w:spacing w:val="15"/>
                <w:w w:val="105"/>
                <w:sz w:val="22"/>
              </w:rPr>
              <w:t> </w:t>
            </w:r>
            <w:r>
              <w:rPr>
                <w:w w:val="105"/>
                <w:sz w:val="22"/>
              </w:rPr>
              <w:t>be</w:t>
            </w:r>
            <w:r>
              <w:rPr>
                <w:spacing w:val="15"/>
                <w:w w:val="105"/>
                <w:sz w:val="22"/>
              </w:rPr>
              <w:t> </w:t>
            </w:r>
            <w:r>
              <w:rPr>
                <w:w w:val="105"/>
                <w:sz w:val="22"/>
              </w:rPr>
              <w:t>returned</w:t>
            </w:r>
            <w:r>
              <w:rPr>
                <w:spacing w:val="7"/>
                <w:w w:val="105"/>
                <w:sz w:val="22"/>
              </w:rPr>
              <w:t> </w:t>
            </w:r>
            <w:r>
              <w:rPr>
                <w:w w:val="105"/>
                <w:sz w:val="22"/>
              </w:rPr>
              <w:t>to</w:t>
            </w:r>
            <w:r>
              <w:rPr>
                <w:spacing w:val="10"/>
                <w:w w:val="105"/>
                <w:sz w:val="22"/>
              </w:rPr>
              <w:t> </w:t>
            </w:r>
            <w:r>
              <w:rPr>
                <w:w w:val="105"/>
                <w:sz w:val="22"/>
              </w:rPr>
              <w:t>NZQA?</w:t>
            </w:r>
          </w:p>
        </w:tc>
        <w:tc>
          <w:tcPr>
            <w:tcW w:w="852" w:type="dxa"/>
          </w:tcPr>
          <w:p>
            <w:pPr>
              <w:pStyle w:val="TableParagraph"/>
              <w:rPr>
                <w:sz w:val="22"/>
              </w:rPr>
            </w:pPr>
          </w:p>
        </w:tc>
      </w:tr>
      <w:tr>
        <w:trPr>
          <w:trHeight w:val="371" w:hRule="atLeast"/>
        </w:trPr>
        <w:tc>
          <w:tcPr>
            <w:tcW w:w="8755" w:type="dxa"/>
          </w:tcPr>
          <w:p>
            <w:pPr>
              <w:pStyle w:val="TableParagraph"/>
              <w:tabs>
                <w:tab w:pos="359" w:val="left" w:leader="none"/>
              </w:tabs>
              <w:spacing w:before="61"/>
              <w:ind w:right="383"/>
              <w:jc w:val="right"/>
              <w:rPr>
                <w:sz w:val="22"/>
              </w:rPr>
            </w:pPr>
            <w:r>
              <w:rPr>
                <w:w w:val="105"/>
                <w:sz w:val="20"/>
              </w:rPr>
              <w:t>□</w:t>
              <w:tab/>
            </w:r>
            <w:r>
              <w:rPr>
                <w:w w:val="105"/>
                <w:sz w:val="22"/>
              </w:rPr>
              <w:t>emphasised/explained</w:t>
            </w:r>
            <w:r>
              <w:rPr>
                <w:spacing w:val="40"/>
                <w:w w:val="105"/>
                <w:sz w:val="22"/>
              </w:rPr>
              <w:t> </w:t>
            </w:r>
            <w:r>
              <w:rPr>
                <w:w w:val="105"/>
                <w:sz w:val="22"/>
              </w:rPr>
              <w:t>the</w:t>
            </w:r>
            <w:r>
              <w:rPr>
                <w:spacing w:val="41"/>
                <w:w w:val="105"/>
                <w:sz w:val="22"/>
              </w:rPr>
              <w:t> </w:t>
            </w:r>
            <w:r>
              <w:rPr>
                <w:w w:val="105"/>
                <w:sz w:val="22"/>
              </w:rPr>
              <w:t>process</w:t>
            </w:r>
            <w:r>
              <w:rPr>
                <w:spacing w:val="38"/>
                <w:w w:val="105"/>
                <w:sz w:val="22"/>
              </w:rPr>
              <w:t> </w:t>
            </w:r>
            <w:r>
              <w:rPr>
                <w:w w:val="105"/>
                <w:sz w:val="22"/>
              </w:rPr>
              <w:t>for</w:t>
            </w:r>
            <w:r>
              <w:rPr>
                <w:spacing w:val="41"/>
                <w:w w:val="105"/>
                <w:sz w:val="22"/>
              </w:rPr>
              <w:t> </w:t>
            </w:r>
            <w:r>
              <w:rPr>
                <w:w w:val="105"/>
                <w:sz w:val="22"/>
              </w:rPr>
              <w:t>the</w:t>
            </w:r>
            <w:r>
              <w:rPr>
                <w:spacing w:val="39"/>
                <w:w w:val="105"/>
                <w:sz w:val="22"/>
              </w:rPr>
              <w:t> </w:t>
            </w:r>
            <w:r>
              <w:rPr>
                <w:w w:val="105"/>
                <w:sz w:val="22"/>
              </w:rPr>
              <w:t>completion</w:t>
            </w:r>
            <w:r>
              <w:rPr>
                <w:spacing w:val="41"/>
                <w:w w:val="105"/>
                <w:sz w:val="22"/>
              </w:rPr>
              <w:t> </w:t>
            </w:r>
            <w:r>
              <w:rPr>
                <w:w w:val="105"/>
                <w:sz w:val="22"/>
              </w:rPr>
              <w:t>of</w:t>
            </w:r>
            <w:r>
              <w:rPr>
                <w:spacing w:val="46"/>
                <w:w w:val="105"/>
                <w:sz w:val="22"/>
              </w:rPr>
              <w:t> </w:t>
            </w:r>
            <w:r>
              <w:rPr>
                <w:w w:val="105"/>
                <w:sz w:val="22"/>
              </w:rPr>
              <w:t>the</w:t>
            </w:r>
            <w:r>
              <w:rPr>
                <w:spacing w:val="38"/>
                <w:w w:val="105"/>
                <w:sz w:val="22"/>
              </w:rPr>
              <w:t> </w:t>
            </w:r>
            <w:r>
              <w:rPr>
                <w:w w:val="105"/>
                <w:sz w:val="22"/>
              </w:rPr>
              <w:t>Marker</w:t>
            </w:r>
            <w:r>
              <w:rPr>
                <w:spacing w:val="42"/>
                <w:w w:val="105"/>
                <w:sz w:val="22"/>
              </w:rPr>
              <w:t> </w:t>
            </w:r>
            <w:r>
              <w:rPr>
                <w:w w:val="105"/>
                <w:sz w:val="22"/>
              </w:rPr>
              <w:t>Report?</w:t>
            </w:r>
          </w:p>
        </w:tc>
        <w:tc>
          <w:tcPr>
            <w:tcW w:w="852" w:type="dxa"/>
          </w:tcPr>
          <w:p>
            <w:pPr>
              <w:pStyle w:val="TableParagraph"/>
              <w:rPr>
                <w:sz w:val="22"/>
              </w:rPr>
            </w:pPr>
          </w:p>
        </w:tc>
      </w:tr>
      <w:tr>
        <w:trPr>
          <w:trHeight w:val="626" w:hRule="atLeast"/>
        </w:trPr>
        <w:tc>
          <w:tcPr>
            <w:tcW w:w="8755" w:type="dxa"/>
          </w:tcPr>
          <w:p>
            <w:pPr>
              <w:pStyle w:val="TableParagraph"/>
              <w:tabs>
                <w:tab w:pos="959" w:val="left" w:leader="none"/>
              </w:tabs>
              <w:spacing w:before="61"/>
              <w:ind w:left="959" w:right="93" w:hanging="360"/>
              <w:rPr>
                <w:sz w:val="22"/>
              </w:rPr>
            </w:pPr>
            <w:r>
              <w:rPr>
                <w:w w:val="105"/>
                <w:sz w:val="20"/>
              </w:rPr>
              <w:t>□</w:t>
              <w:tab/>
            </w:r>
            <w:r>
              <w:rPr>
                <w:w w:val="105"/>
                <w:sz w:val="22"/>
                <w:shd w:fill="FFFF00" w:color="auto" w:val="clear"/>
              </w:rPr>
              <w:t>asked markers to provide you with at least </w:t>
            </w:r>
            <w:r>
              <w:rPr>
                <w:color w:val="00AFEF"/>
                <w:w w:val="105"/>
                <w:sz w:val="22"/>
                <w:shd w:fill="FFFF00" w:color="auto" w:val="clear"/>
              </w:rPr>
              <w:t>four blue  </w:t>
            </w:r>
            <w:r>
              <w:rPr>
                <w:w w:val="105"/>
                <w:sz w:val="22"/>
                <w:shd w:fill="FFFF00" w:color="auto" w:val="clear"/>
              </w:rPr>
              <w:t>CourierPost  bags for return of check</w:t>
            </w:r>
            <w:r>
              <w:rPr>
                <w:spacing w:val="12"/>
                <w:w w:val="105"/>
                <w:sz w:val="22"/>
                <w:shd w:fill="FFFF00" w:color="auto" w:val="clear"/>
              </w:rPr>
              <w:t> </w:t>
            </w:r>
            <w:r>
              <w:rPr>
                <w:w w:val="105"/>
                <w:sz w:val="22"/>
                <w:shd w:fill="FFFF00" w:color="auto" w:val="clear"/>
              </w:rPr>
              <w:t>marking?</w:t>
            </w:r>
          </w:p>
        </w:tc>
        <w:tc>
          <w:tcPr>
            <w:tcW w:w="852" w:type="dxa"/>
          </w:tcPr>
          <w:p>
            <w:pPr>
              <w:pStyle w:val="TableParagraph"/>
              <w:rPr>
                <w:sz w:val="22"/>
              </w:rPr>
            </w:pPr>
          </w:p>
        </w:tc>
      </w:tr>
      <w:tr>
        <w:trPr>
          <w:trHeight w:val="373" w:hRule="atLeast"/>
        </w:trPr>
        <w:tc>
          <w:tcPr>
            <w:tcW w:w="8755" w:type="dxa"/>
          </w:tcPr>
          <w:p>
            <w:pPr>
              <w:pStyle w:val="TableParagraph"/>
              <w:tabs>
                <w:tab w:pos="959" w:val="left" w:leader="none"/>
              </w:tabs>
              <w:spacing w:before="61"/>
              <w:ind w:left="599"/>
              <w:rPr>
                <w:sz w:val="22"/>
              </w:rPr>
            </w:pPr>
            <w:r>
              <w:rPr>
                <w:w w:val="105"/>
                <w:sz w:val="20"/>
              </w:rPr>
              <w:t>□</w:t>
              <w:tab/>
            </w:r>
            <w:r>
              <w:rPr>
                <w:w w:val="105"/>
                <w:sz w:val="22"/>
              </w:rPr>
              <w:t>explained daily entry of results and keeping a tally of results to</w:t>
            </w:r>
            <w:r>
              <w:rPr>
                <w:spacing w:val="44"/>
                <w:w w:val="105"/>
                <w:sz w:val="22"/>
              </w:rPr>
              <w:t> </w:t>
            </w:r>
            <w:r>
              <w:rPr>
                <w:w w:val="105"/>
                <w:sz w:val="22"/>
              </w:rPr>
              <w:t>markers?</w:t>
            </w:r>
          </w:p>
        </w:tc>
        <w:tc>
          <w:tcPr>
            <w:tcW w:w="852" w:type="dxa"/>
          </w:tcPr>
          <w:p>
            <w:pPr>
              <w:pStyle w:val="TableParagraph"/>
              <w:rPr>
                <w:sz w:val="22"/>
              </w:rPr>
            </w:pPr>
          </w:p>
        </w:tc>
      </w:tr>
      <w:tr>
        <w:trPr>
          <w:trHeight w:val="626" w:hRule="atLeast"/>
        </w:trPr>
        <w:tc>
          <w:tcPr>
            <w:tcW w:w="8755" w:type="dxa"/>
          </w:tcPr>
          <w:p>
            <w:pPr>
              <w:pStyle w:val="TableParagraph"/>
              <w:tabs>
                <w:tab w:pos="959" w:val="left" w:leader="none"/>
              </w:tabs>
              <w:spacing w:before="61"/>
              <w:ind w:left="959" w:right="93" w:hanging="360"/>
              <w:rPr>
                <w:sz w:val="22"/>
              </w:rPr>
            </w:pPr>
            <w:r>
              <w:rPr>
                <w:w w:val="105"/>
                <w:sz w:val="20"/>
              </w:rPr>
              <w:t>□</w:t>
              <w:tab/>
            </w:r>
            <w:r>
              <w:rPr>
                <w:w w:val="105"/>
                <w:sz w:val="22"/>
              </w:rPr>
              <w:t>emphasised that markers should wait for feedback on a batch of check-marking before double entering</w:t>
            </w:r>
            <w:r>
              <w:rPr>
                <w:spacing w:val="12"/>
                <w:w w:val="105"/>
                <w:sz w:val="22"/>
              </w:rPr>
              <w:t> </w:t>
            </w:r>
            <w:r>
              <w:rPr>
                <w:w w:val="105"/>
                <w:sz w:val="22"/>
              </w:rPr>
              <w:t>results?</w:t>
            </w:r>
          </w:p>
        </w:tc>
        <w:tc>
          <w:tcPr>
            <w:tcW w:w="852" w:type="dxa"/>
          </w:tcPr>
          <w:p>
            <w:pPr>
              <w:pStyle w:val="TableParagraph"/>
              <w:rPr>
                <w:sz w:val="22"/>
              </w:rPr>
            </w:pPr>
          </w:p>
        </w:tc>
      </w:tr>
      <w:tr>
        <w:trPr>
          <w:trHeight w:val="371" w:hRule="atLeast"/>
        </w:trPr>
        <w:tc>
          <w:tcPr>
            <w:tcW w:w="8755" w:type="dxa"/>
            <w:shd w:val="clear" w:color="auto" w:fill="FFBF00"/>
          </w:tcPr>
          <w:p>
            <w:pPr>
              <w:pStyle w:val="TableParagraph"/>
              <w:spacing w:before="61"/>
              <w:ind w:left="249"/>
              <w:rPr>
                <w:sz w:val="22"/>
              </w:rPr>
            </w:pPr>
            <w:r>
              <w:rPr>
                <w:w w:val="120"/>
                <w:sz w:val="22"/>
              </w:rPr>
              <w:t>Remind markers:</w:t>
            </w:r>
          </w:p>
        </w:tc>
        <w:tc>
          <w:tcPr>
            <w:tcW w:w="852" w:type="dxa"/>
            <w:shd w:val="clear" w:color="auto" w:fill="91CF50"/>
          </w:tcPr>
          <w:p>
            <w:pPr>
              <w:pStyle w:val="TableParagraph"/>
              <w:spacing w:before="58"/>
              <w:ind w:left="290"/>
              <w:rPr>
                <w:sz w:val="22"/>
              </w:rPr>
            </w:pPr>
            <w:r>
              <w:rPr>
                <w:w w:val="101"/>
                <w:sz w:val="22"/>
              </w:rPr>
              <w:t></w:t>
            </w:r>
          </w:p>
        </w:tc>
      </w:tr>
      <w:tr>
        <w:trPr>
          <w:trHeight w:val="373" w:hRule="atLeast"/>
        </w:trPr>
        <w:tc>
          <w:tcPr>
            <w:tcW w:w="8755" w:type="dxa"/>
          </w:tcPr>
          <w:p>
            <w:pPr>
              <w:pStyle w:val="TableParagraph"/>
              <w:tabs>
                <w:tab w:pos="959" w:val="left" w:leader="none"/>
              </w:tabs>
              <w:spacing w:before="63"/>
              <w:ind w:left="599"/>
              <w:rPr>
                <w:sz w:val="22"/>
              </w:rPr>
            </w:pPr>
            <w:r>
              <w:rPr>
                <w:w w:val="105"/>
                <w:sz w:val="20"/>
              </w:rPr>
              <w:t>□</w:t>
              <w:tab/>
            </w:r>
            <w:r>
              <w:rPr>
                <w:w w:val="110"/>
                <w:sz w:val="22"/>
              </w:rPr>
              <w:t>that all marking must be carried out in a secure</w:t>
            </w:r>
            <w:r>
              <w:rPr>
                <w:spacing w:val="-1"/>
                <w:w w:val="110"/>
                <w:sz w:val="22"/>
              </w:rPr>
              <w:t> </w:t>
            </w:r>
            <w:r>
              <w:rPr>
                <w:w w:val="110"/>
                <w:sz w:val="22"/>
              </w:rPr>
              <w:t>environment.</w:t>
            </w:r>
          </w:p>
        </w:tc>
        <w:tc>
          <w:tcPr>
            <w:tcW w:w="852" w:type="dxa"/>
          </w:tcPr>
          <w:p>
            <w:pPr>
              <w:pStyle w:val="TableParagraph"/>
              <w:rPr>
                <w:sz w:val="22"/>
              </w:rPr>
            </w:pPr>
          </w:p>
        </w:tc>
      </w:tr>
      <w:tr>
        <w:trPr>
          <w:trHeight w:val="374" w:hRule="atLeast"/>
        </w:trPr>
        <w:tc>
          <w:tcPr>
            <w:tcW w:w="8755" w:type="dxa"/>
          </w:tcPr>
          <w:p>
            <w:pPr>
              <w:pStyle w:val="TableParagraph"/>
              <w:tabs>
                <w:tab w:pos="959" w:val="left" w:leader="none"/>
              </w:tabs>
              <w:spacing w:before="61"/>
              <w:ind w:left="599"/>
              <w:rPr>
                <w:sz w:val="22"/>
              </w:rPr>
            </w:pPr>
            <w:r>
              <w:rPr>
                <w:sz w:val="20"/>
              </w:rPr>
              <w:t>□</w:t>
              <w:tab/>
            </w:r>
            <w:r>
              <w:rPr>
                <w:sz w:val="22"/>
              </w:rPr>
              <w:t>to</w:t>
            </w:r>
            <w:r>
              <w:rPr>
                <w:spacing w:val="13"/>
                <w:sz w:val="22"/>
              </w:rPr>
              <w:t> </w:t>
            </w:r>
            <w:r>
              <w:rPr>
                <w:sz w:val="22"/>
              </w:rPr>
              <w:t>check</w:t>
            </w:r>
            <w:r>
              <w:rPr>
                <w:spacing w:val="14"/>
                <w:sz w:val="22"/>
              </w:rPr>
              <w:t> </w:t>
            </w:r>
            <w:r>
              <w:rPr>
                <w:sz w:val="22"/>
              </w:rPr>
              <w:t>off</w:t>
            </w:r>
            <w:r>
              <w:rPr>
                <w:spacing w:val="12"/>
                <w:sz w:val="22"/>
              </w:rPr>
              <w:t> </w:t>
            </w:r>
            <w:r>
              <w:rPr>
                <w:sz w:val="22"/>
              </w:rPr>
              <w:t>portfolios</w:t>
            </w:r>
            <w:r>
              <w:rPr>
                <w:spacing w:val="11"/>
                <w:sz w:val="22"/>
              </w:rPr>
              <w:t> </w:t>
            </w:r>
            <w:r>
              <w:rPr>
                <w:sz w:val="22"/>
              </w:rPr>
              <w:t>on</w:t>
            </w:r>
            <w:r>
              <w:rPr>
                <w:spacing w:val="6"/>
                <w:sz w:val="22"/>
              </w:rPr>
              <w:t> </w:t>
            </w:r>
            <w:r>
              <w:rPr>
                <w:sz w:val="22"/>
              </w:rPr>
              <w:t>the</w:t>
            </w:r>
            <w:r>
              <w:rPr>
                <w:spacing w:val="12"/>
                <w:sz w:val="22"/>
              </w:rPr>
              <w:t> </w:t>
            </w:r>
            <w:r>
              <w:rPr>
                <w:sz w:val="22"/>
              </w:rPr>
              <w:t>ABCS</w:t>
            </w:r>
            <w:r>
              <w:rPr>
                <w:spacing w:val="9"/>
                <w:sz w:val="22"/>
              </w:rPr>
              <w:t> </w:t>
            </w:r>
            <w:r>
              <w:rPr>
                <w:sz w:val="22"/>
              </w:rPr>
              <w:t>prior</w:t>
            </w:r>
            <w:r>
              <w:rPr>
                <w:spacing w:val="11"/>
                <w:sz w:val="22"/>
              </w:rPr>
              <w:t> </w:t>
            </w:r>
            <w:r>
              <w:rPr>
                <w:sz w:val="22"/>
              </w:rPr>
              <w:t>to</w:t>
            </w:r>
            <w:r>
              <w:rPr>
                <w:spacing w:val="8"/>
                <w:sz w:val="22"/>
              </w:rPr>
              <w:t> </w:t>
            </w:r>
            <w:r>
              <w:rPr>
                <w:sz w:val="22"/>
              </w:rPr>
              <w:t>marking.</w:t>
            </w:r>
          </w:p>
        </w:tc>
        <w:tc>
          <w:tcPr>
            <w:tcW w:w="852" w:type="dxa"/>
          </w:tcPr>
          <w:p>
            <w:pPr>
              <w:pStyle w:val="TableParagraph"/>
              <w:rPr>
                <w:sz w:val="22"/>
              </w:rPr>
            </w:pPr>
          </w:p>
        </w:tc>
      </w:tr>
      <w:tr>
        <w:trPr>
          <w:trHeight w:val="371" w:hRule="atLeast"/>
        </w:trPr>
        <w:tc>
          <w:tcPr>
            <w:tcW w:w="8755" w:type="dxa"/>
          </w:tcPr>
          <w:p>
            <w:pPr>
              <w:pStyle w:val="TableParagraph"/>
              <w:tabs>
                <w:tab w:pos="959" w:val="left" w:leader="none"/>
              </w:tabs>
              <w:spacing w:before="61"/>
              <w:ind w:left="599"/>
              <w:rPr>
                <w:sz w:val="22"/>
              </w:rPr>
            </w:pPr>
            <w:r>
              <w:rPr>
                <w:w w:val="105"/>
                <w:sz w:val="20"/>
              </w:rPr>
              <w:t>□</w:t>
              <w:tab/>
            </w:r>
            <w:r>
              <w:rPr>
                <w:w w:val="110"/>
                <w:sz w:val="22"/>
              </w:rPr>
              <w:t>to process all incorrectly delivered portfolios as soon as</w:t>
            </w:r>
            <w:r>
              <w:rPr>
                <w:spacing w:val="4"/>
                <w:w w:val="110"/>
                <w:sz w:val="22"/>
              </w:rPr>
              <w:t> </w:t>
            </w:r>
            <w:r>
              <w:rPr>
                <w:w w:val="110"/>
                <w:sz w:val="22"/>
              </w:rPr>
              <w:t>possible.</w:t>
            </w:r>
          </w:p>
        </w:tc>
        <w:tc>
          <w:tcPr>
            <w:tcW w:w="852" w:type="dxa"/>
          </w:tcPr>
          <w:p>
            <w:pPr>
              <w:pStyle w:val="TableParagraph"/>
              <w:rPr>
                <w:sz w:val="22"/>
              </w:rPr>
            </w:pPr>
          </w:p>
        </w:tc>
      </w:tr>
      <w:tr>
        <w:trPr>
          <w:trHeight w:val="374" w:hRule="atLeast"/>
        </w:trPr>
        <w:tc>
          <w:tcPr>
            <w:tcW w:w="8755" w:type="dxa"/>
          </w:tcPr>
          <w:p>
            <w:pPr>
              <w:pStyle w:val="TableParagraph"/>
              <w:tabs>
                <w:tab w:pos="959" w:val="left" w:leader="none"/>
              </w:tabs>
              <w:spacing w:before="61"/>
              <w:ind w:left="599"/>
              <w:rPr>
                <w:sz w:val="22"/>
              </w:rPr>
            </w:pPr>
            <w:r>
              <w:rPr>
                <w:w w:val="105"/>
                <w:sz w:val="20"/>
              </w:rPr>
              <w:t>□</w:t>
              <w:tab/>
            </w:r>
            <w:r>
              <w:rPr>
                <w:w w:val="105"/>
                <w:sz w:val="22"/>
              </w:rPr>
              <w:t>to finalise their pickup address by early December</w:t>
            </w:r>
            <w:r>
              <w:rPr>
                <w:spacing w:val="56"/>
                <w:w w:val="105"/>
                <w:sz w:val="22"/>
              </w:rPr>
              <w:t> </w:t>
            </w:r>
            <w:r>
              <w:rPr>
                <w:w w:val="105"/>
                <w:sz w:val="22"/>
              </w:rPr>
              <w:t>2019.</w:t>
            </w:r>
          </w:p>
        </w:tc>
        <w:tc>
          <w:tcPr>
            <w:tcW w:w="852" w:type="dxa"/>
          </w:tcPr>
          <w:p>
            <w:pPr>
              <w:pStyle w:val="TableParagraph"/>
              <w:rPr>
                <w:sz w:val="22"/>
              </w:rPr>
            </w:pPr>
          </w:p>
        </w:tc>
      </w:tr>
      <w:tr>
        <w:trPr>
          <w:trHeight w:val="371" w:hRule="atLeast"/>
        </w:trPr>
        <w:tc>
          <w:tcPr>
            <w:tcW w:w="8755" w:type="dxa"/>
          </w:tcPr>
          <w:p>
            <w:pPr>
              <w:pStyle w:val="TableParagraph"/>
              <w:tabs>
                <w:tab w:pos="959" w:val="left" w:leader="none"/>
              </w:tabs>
              <w:spacing w:before="61"/>
              <w:ind w:left="599"/>
              <w:rPr>
                <w:sz w:val="22"/>
              </w:rPr>
            </w:pPr>
            <w:r>
              <w:rPr>
                <w:w w:val="105"/>
                <w:sz w:val="20"/>
              </w:rPr>
              <w:t>□</w:t>
              <w:tab/>
            </w:r>
            <w:r>
              <w:rPr>
                <w:w w:val="105"/>
                <w:sz w:val="22"/>
              </w:rPr>
              <w:t>of the results completion date, 20 December</w:t>
            </w:r>
            <w:r>
              <w:rPr>
                <w:spacing w:val="50"/>
                <w:w w:val="105"/>
                <w:sz w:val="22"/>
              </w:rPr>
              <w:t> </w:t>
            </w:r>
            <w:r>
              <w:rPr>
                <w:w w:val="105"/>
                <w:sz w:val="22"/>
              </w:rPr>
              <w:t>2019.</w:t>
            </w:r>
          </w:p>
        </w:tc>
        <w:tc>
          <w:tcPr>
            <w:tcW w:w="852" w:type="dxa"/>
          </w:tcPr>
          <w:p>
            <w:pPr>
              <w:pStyle w:val="TableParagraph"/>
              <w:rPr>
                <w:sz w:val="22"/>
              </w:rPr>
            </w:pPr>
          </w:p>
        </w:tc>
      </w:tr>
      <w:tr>
        <w:trPr>
          <w:trHeight w:val="373" w:hRule="atLeast"/>
        </w:trPr>
        <w:tc>
          <w:tcPr>
            <w:tcW w:w="8755" w:type="dxa"/>
          </w:tcPr>
          <w:p>
            <w:pPr>
              <w:pStyle w:val="TableParagraph"/>
              <w:tabs>
                <w:tab w:pos="959" w:val="left" w:leader="none"/>
              </w:tabs>
              <w:spacing w:before="61"/>
              <w:ind w:left="599"/>
              <w:rPr>
                <w:sz w:val="22"/>
              </w:rPr>
            </w:pPr>
            <w:r>
              <w:rPr>
                <w:sz w:val="20"/>
              </w:rPr>
              <w:t>□</w:t>
              <w:tab/>
            </w:r>
            <w:r>
              <w:rPr>
                <w:sz w:val="22"/>
              </w:rPr>
              <w:t>to notify you immediately </w:t>
            </w:r>
            <w:r>
              <w:rPr>
                <w:spacing w:val="-3"/>
                <w:sz w:val="22"/>
              </w:rPr>
              <w:t>if </w:t>
            </w:r>
            <w:r>
              <w:rPr>
                <w:sz w:val="22"/>
              </w:rPr>
              <w:t>any problems occur with their marking.</w:t>
            </w:r>
          </w:p>
        </w:tc>
        <w:tc>
          <w:tcPr>
            <w:tcW w:w="852" w:type="dxa"/>
          </w:tcPr>
          <w:p>
            <w:pPr>
              <w:pStyle w:val="TableParagraph"/>
              <w:rPr>
                <w:sz w:val="22"/>
              </w:rPr>
            </w:pPr>
          </w:p>
        </w:tc>
      </w:tr>
      <w:tr>
        <w:trPr>
          <w:trHeight w:val="371" w:hRule="atLeast"/>
        </w:trPr>
        <w:tc>
          <w:tcPr>
            <w:tcW w:w="8755" w:type="dxa"/>
          </w:tcPr>
          <w:p>
            <w:pPr>
              <w:pStyle w:val="TableParagraph"/>
              <w:tabs>
                <w:tab w:pos="359" w:val="left" w:leader="none"/>
              </w:tabs>
              <w:spacing w:before="61"/>
              <w:ind w:right="373"/>
              <w:jc w:val="right"/>
              <w:rPr>
                <w:sz w:val="22"/>
              </w:rPr>
            </w:pPr>
            <w:r>
              <w:rPr>
                <w:w w:val="105"/>
                <w:sz w:val="20"/>
              </w:rPr>
              <w:t>□</w:t>
              <w:tab/>
            </w:r>
            <w:r>
              <w:rPr>
                <w:w w:val="105"/>
                <w:sz w:val="22"/>
              </w:rPr>
              <w:t>that</w:t>
            </w:r>
            <w:r>
              <w:rPr>
                <w:spacing w:val="26"/>
                <w:w w:val="105"/>
                <w:sz w:val="22"/>
              </w:rPr>
              <w:t> </w:t>
            </w:r>
            <w:r>
              <w:rPr>
                <w:w w:val="105"/>
                <w:sz w:val="22"/>
              </w:rPr>
              <w:t>you</w:t>
            </w:r>
            <w:r>
              <w:rPr>
                <w:spacing w:val="24"/>
                <w:w w:val="105"/>
                <w:sz w:val="22"/>
              </w:rPr>
              <w:t> </w:t>
            </w:r>
            <w:r>
              <w:rPr>
                <w:w w:val="105"/>
                <w:sz w:val="22"/>
              </w:rPr>
              <w:t>must</w:t>
            </w:r>
            <w:r>
              <w:rPr>
                <w:spacing w:val="25"/>
                <w:w w:val="105"/>
                <w:sz w:val="22"/>
              </w:rPr>
              <w:t> </w:t>
            </w:r>
            <w:r>
              <w:rPr>
                <w:w w:val="105"/>
                <w:sz w:val="22"/>
              </w:rPr>
              <w:t>receive</w:t>
            </w:r>
            <w:r>
              <w:rPr>
                <w:spacing w:val="26"/>
                <w:w w:val="105"/>
                <w:sz w:val="22"/>
              </w:rPr>
              <w:t> </w:t>
            </w:r>
            <w:r>
              <w:rPr>
                <w:w w:val="105"/>
                <w:sz w:val="22"/>
              </w:rPr>
              <w:t>their</w:t>
            </w:r>
            <w:r>
              <w:rPr>
                <w:spacing w:val="26"/>
                <w:w w:val="105"/>
                <w:sz w:val="22"/>
              </w:rPr>
              <w:t> </w:t>
            </w:r>
            <w:r>
              <w:rPr>
                <w:w w:val="105"/>
                <w:sz w:val="22"/>
              </w:rPr>
              <w:t>Marker</w:t>
            </w:r>
            <w:r>
              <w:rPr>
                <w:spacing w:val="25"/>
                <w:w w:val="105"/>
                <w:sz w:val="22"/>
              </w:rPr>
              <w:t> </w:t>
            </w:r>
            <w:r>
              <w:rPr>
                <w:w w:val="105"/>
                <w:sz w:val="22"/>
              </w:rPr>
              <w:t>Report</w:t>
            </w:r>
            <w:r>
              <w:rPr>
                <w:spacing w:val="23"/>
                <w:w w:val="105"/>
                <w:sz w:val="22"/>
              </w:rPr>
              <w:t> </w:t>
            </w:r>
            <w:r>
              <w:rPr>
                <w:w w:val="105"/>
                <w:sz w:val="22"/>
              </w:rPr>
              <w:t>by</w:t>
            </w:r>
            <w:r>
              <w:rPr>
                <w:spacing w:val="22"/>
                <w:w w:val="105"/>
                <w:sz w:val="22"/>
              </w:rPr>
              <w:t> </w:t>
            </w:r>
            <w:r>
              <w:rPr>
                <w:w w:val="105"/>
                <w:sz w:val="22"/>
              </w:rPr>
              <w:t>20</w:t>
            </w:r>
            <w:r>
              <w:rPr>
                <w:spacing w:val="21"/>
                <w:w w:val="105"/>
                <w:sz w:val="22"/>
              </w:rPr>
              <w:t> </w:t>
            </w:r>
            <w:r>
              <w:rPr>
                <w:w w:val="105"/>
                <w:sz w:val="22"/>
              </w:rPr>
              <w:t>December</w:t>
            </w:r>
            <w:r>
              <w:rPr>
                <w:spacing w:val="25"/>
                <w:w w:val="105"/>
                <w:sz w:val="22"/>
              </w:rPr>
              <w:t> </w:t>
            </w:r>
            <w:r>
              <w:rPr>
                <w:w w:val="105"/>
                <w:sz w:val="22"/>
              </w:rPr>
              <w:t>2019</w:t>
            </w:r>
            <w:r>
              <w:rPr>
                <w:spacing w:val="22"/>
                <w:w w:val="105"/>
                <w:sz w:val="22"/>
              </w:rPr>
              <w:t> </w:t>
            </w:r>
            <w:r>
              <w:rPr>
                <w:w w:val="105"/>
                <w:sz w:val="22"/>
              </w:rPr>
              <w:t>(or</w:t>
            </w:r>
            <w:r>
              <w:rPr>
                <w:spacing w:val="24"/>
                <w:w w:val="105"/>
                <w:sz w:val="22"/>
              </w:rPr>
              <w:t> </w:t>
            </w:r>
            <w:r>
              <w:rPr>
                <w:w w:val="105"/>
                <w:sz w:val="22"/>
              </w:rPr>
              <w:t>earlier).</w:t>
            </w:r>
          </w:p>
        </w:tc>
        <w:tc>
          <w:tcPr>
            <w:tcW w:w="852" w:type="dxa"/>
          </w:tcPr>
          <w:p>
            <w:pPr>
              <w:pStyle w:val="TableParagraph"/>
              <w:rPr>
                <w:sz w:val="22"/>
              </w:rPr>
            </w:pPr>
          </w:p>
        </w:tc>
      </w:tr>
      <w:tr>
        <w:trPr>
          <w:trHeight w:val="374" w:hRule="atLeast"/>
        </w:trPr>
        <w:tc>
          <w:tcPr>
            <w:tcW w:w="8755" w:type="dxa"/>
            <w:shd w:val="clear" w:color="auto" w:fill="FFBF00"/>
          </w:tcPr>
          <w:p>
            <w:pPr>
              <w:pStyle w:val="TableParagraph"/>
              <w:spacing w:before="63"/>
              <w:ind w:left="249"/>
              <w:rPr>
                <w:sz w:val="22"/>
              </w:rPr>
            </w:pPr>
            <w:r>
              <w:rPr>
                <w:w w:val="115"/>
                <w:sz w:val="22"/>
              </w:rPr>
              <w:t>After marking</w:t>
            </w:r>
          </w:p>
        </w:tc>
        <w:tc>
          <w:tcPr>
            <w:tcW w:w="852" w:type="dxa"/>
            <w:shd w:val="clear" w:color="auto" w:fill="91CF50"/>
          </w:tcPr>
          <w:p>
            <w:pPr>
              <w:pStyle w:val="TableParagraph"/>
              <w:spacing w:before="58"/>
              <w:ind w:left="290"/>
              <w:rPr>
                <w:sz w:val="22"/>
              </w:rPr>
            </w:pPr>
            <w:r>
              <w:rPr>
                <w:w w:val="101"/>
                <w:sz w:val="22"/>
              </w:rPr>
              <w:t></w:t>
            </w:r>
          </w:p>
        </w:tc>
      </w:tr>
      <w:tr>
        <w:trPr>
          <w:trHeight w:val="373" w:hRule="atLeast"/>
        </w:trPr>
        <w:tc>
          <w:tcPr>
            <w:tcW w:w="8755" w:type="dxa"/>
          </w:tcPr>
          <w:p>
            <w:pPr>
              <w:pStyle w:val="TableParagraph"/>
              <w:spacing w:before="61"/>
              <w:ind w:left="249"/>
              <w:rPr>
                <w:sz w:val="22"/>
              </w:rPr>
            </w:pPr>
            <w:r>
              <w:rPr>
                <w:w w:val="115"/>
                <w:sz w:val="22"/>
              </w:rPr>
              <w:t>Have you …</w:t>
            </w:r>
          </w:p>
        </w:tc>
        <w:tc>
          <w:tcPr>
            <w:tcW w:w="852" w:type="dxa"/>
          </w:tcPr>
          <w:p>
            <w:pPr>
              <w:pStyle w:val="TableParagraph"/>
              <w:rPr>
                <w:sz w:val="22"/>
              </w:rPr>
            </w:pPr>
          </w:p>
        </w:tc>
      </w:tr>
      <w:tr>
        <w:trPr>
          <w:trHeight w:val="626" w:hRule="atLeast"/>
        </w:trPr>
        <w:tc>
          <w:tcPr>
            <w:tcW w:w="8755" w:type="dxa"/>
          </w:tcPr>
          <w:p>
            <w:pPr>
              <w:pStyle w:val="TableParagraph"/>
              <w:tabs>
                <w:tab w:pos="959" w:val="left" w:leader="none"/>
              </w:tabs>
              <w:spacing w:before="61"/>
              <w:ind w:left="959" w:right="566" w:hanging="360"/>
              <w:rPr>
                <w:sz w:val="22"/>
              </w:rPr>
            </w:pPr>
            <w:r>
              <w:rPr>
                <w:sz w:val="20"/>
              </w:rPr>
              <w:t>□</w:t>
              <w:tab/>
            </w:r>
            <w:r>
              <w:rPr>
                <w:sz w:val="22"/>
              </w:rPr>
              <w:t>emailed </w:t>
            </w:r>
            <w:r>
              <w:rPr>
                <w:w w:val="105"/>
                <w:sz w:val="22"/>
              </w:rPr>
              <w:t>a </w:t>
            </w:r>
            <w:r>
              <w:rPr>
                <w:sz w:val="22"/>
              </w:rPr>
              <w:t>copy of the schedule and posted </w:t>
            </w:r>
            <w:r>
              <w:rPr>
                <w:w w:val="105"/>
                <w:sz w:val="22"/>
              </w:rPr>
              <w:t>a </w:t>
            </w:r>
            <w:r>
              <w:rPr>
                <w:sz w:val="22"/>
              </w:rPr>
              <w:t>full set of marked benchmark portfolios to your NAF by 20 December</w:t>
            </w:r>
            <w:r>
              <w:rPr>
                <w:spacing w:val="20"/>
                <w:sz w:val="22"/>
              </w:rPr>
              <w:t> </w:t>
            </w:r>
            <w:r>
              <w:rPr>
                <w:sz w:val="22"/>
              </w:rPr>
              <w:t>2019?</w:t>
            </w:r>
          </w:p>
        </w:tc>
        <w:tc>
          <w:tcPr>
            <w:tcW w:w="852" w:type="dxa"/>
          </w:tcPr>
          <w:p>
            <w:pPr>
              <w:pStyle w:val="TableParagraph"/>
              <w:rPr>
                <w:sz w:val="22"/>
              </w:rPr>
            </w:pPr>
          </w:p>
        </w:tc>
      </w:tr>
      <w:tr>
        <w:trPr>
          <w:trHeight w:val="625" w:hRule="atLeast"/>
        </w:trPr>
        <w:tc>
          <w:tcPr>
            <w:tcW w:w="8755" w:type="dxa"/>
          </w:tcPr>
          <w:p>
            <w:pPr>
              <w:pStyle w:val="TableParagraph"/>
              <w:tabs>
                <w:tab w:pos="959" w:val="left" w:leader="none"/>
              </w:tabs>
              <w:spacing w:before="61"/>
              <w:ind w:left="959" w:right="566" w:hanging="360"/>
              <w:rPr>
                <w:sz w:val="22"/>
              </w:rPr>
            </w:pPr>
            <w:r>
              <w:rPr>
                <w:w w:val="105"/>
                <w:sz w:val="20"/>
              </w:rPr>
              <w:t>□</w:t>
              <w:tab/>
            </w:r>
            <w:r>
              <w:rPr>
                <w:w w:val="105"/>
                <w:sz w:val="22"/>
              </w:rPr>
              <w:t>completed the Panel Leader Report form electronically and emailed this to NZQA (by 10 January</w:t>
            </w:r>
            <w:r>
              <w:rPr>
                <w:spacing w:val="11"/>
                <w:w w:val="105"/>
                <w:sz w:val="22"/>
              </w:rPr>
              <w:t> </w:t>
            </w:r>
            <w:r>
              <w:rPr>
                <w:w w:val="105"/>
                <w:sz w:val="22"/>
              </w:rPr>
              <w:t>2020)?</w:t>
            </w:r>
          </w:p>
        </w:tc>
        <w:tc>
          <w:tcPr>
            <w:tcW w:w="852" w:type="dxa"/>
          </w:tcPr>
          <w:p>
            <w:pPr>
              <w:pStyle w:val="TableParagraph"/>
              <w:rPr>
                <w:sz w:val="22"/>
              </w:rPr>
            </w:pPr>
          </w:p>
        </w:tc>
      </w:tr>
      <w:tr>
        <w:trPr>
          <w:trHeight w:val="626" w:hRule="atLeast"/>
        </w:trPr>
        <w:tc>
          <w:tcPr>
            <w:tcW w:w="8755" w:type="dxa"/>
          </w:tcPr>
          <w:p>
            <w:pPr>
              <w:pStyle w:val="TableParagraph"/>
              <w:tabs>
                <w:tab w:pos="959" w:val="left" w:leader="none"/>
              </w:tabs>
              <w:spacing w:before="61"/>
              <w:ind w:left="959" w:right="566" w:hanging="360"/>
              <w:rPr>
                <w:sz w:val="22"/>
              </w:rPr>
            </w:pPr>
            <w:r>
              <w:rPr>
                <w:w w:val="105"/>
                <w:sz w:val="20"/>
              </w:rPr>
              <w:t>□</w:t>
              <w:tab/>
            </w:r>
            <w:r>
              <w:rPr>
                <w:w w:val="105"/>
                <w:sz w:val="22"/>
              </w:rPr>
              <w:t>attached each marker’s Appendix C sheets to their Marker Report form </w:t>
            </w:r>
            <w:r>
              <w:rPr>
                <w:spacing w:val="-2"/>
                <w:w w:val="105"/>
                <w:sz w:val="22"/>
              </w:rPr>
              <w:t>and </w:t>
            </w:r>
            <w:r>
              <w:rPr>
                <w:w w:val="105"/>
                <w:sz w:val="22"/>
              </w:rPr>
              <w:t>posted/emailed these to your NAF by 10</w:t>
            </w:r>
            <w:r>
              <w:rPr>
                <w:spacing w:val="13"/>
                <w:w w:val="105"/>
                <w:sz w:val="22"/>
              </w:rPr>
              <w:t> </w:t>
            </w:r>
            <w:r>
              <w:rPr>
                <w:w w:val="105"/>
                <w:sz w:val="22"/>
              </w:rPr>
              <w:t>January 2020?</w:t>
            </w:r>
          </w:p>
        </w:tc>
        <w:tc>
          <w:tcPr>
            <w:tcW w:w="852" w:type="dxa"/>
          </w:tcPr>
          <w:p>
            <w:pPr>
              <w:pStyle w:val="TableParagraph"/>
              <w:rPr>
                <w:sz w:val="22"/>
              </w:rPr>
            </w:pPr>
          </w:p>
        </w:tc>
      </w:tr>
      <w:tr>
        <w:trPr>
          <w:trHeight w:val="371" w:hRule="atLeast"/>
        </w:trPr>
        <w:tc>
          <w:tcPr>
            <w:tcW w:w="8755" w:type="dxa"/>
          </w:tcPr>
          <w:p>
            <w:pPr>
              <w:pStyle w:val="TableParagraph"/>
              <w:tabs>
                <w:tab w:pos="959" w:val="left" w:leader="none"/>
              </w:tabs>
              <w:spacing w:before="61"/>
              <w:ind w:left="599"/>
              <w:rPr>
                <w:sz w:val="22"/>
              </w:rPr>
            </w:pPr>
            <w:r>
              <w:rPr>
                <w:w w:val="105"/>
                <w:sz w:val="20"/>
              </w:rPr>
              <w:t>□</w:t>
              <w:tab/>
            </w:r>
            <w:r>
              <w:rPr>
                <w:w w:val="105"/>
                <w:sz w:val="22"/>
              </w:rPr>
              <w:t>sent your claim form to NZQA by 10 January</w:t>
            </w:r>
            <w:r>
              <w:rPr>
                <w:spacing w:val="50"/>
                <w:w w:val="105"/>
                <w:sz w:val="22"/>
              </w:rPr>
              <w:t> </w:t>
            </w:r>
            <w:r>
              <w:rPr>
                <w:w w:val="105"/>
                <w:sz w:val="22"/>
              </w:rPr>
              <w:t>2020?</w:t>
            </w:r>
          </w:p>
        </w:tc>
        <w:tc>
          <w:tcPr>
            <w:tcW w:w="852" w:type="dxa"/>
          </w:tcPr>
          <w:p>
            <w:pPr>
              <w:pStyle w:val="TableParagraph"/>
              <w:rPr>
                <w:sz w:val="22"/>
              </w:rPr>
            </w:pPr>
          </w:p>
        </w:tc>
      </w:tr>
    </w:tbl>
    <w:p>
      <w:pPr>
        <w:spacing w:after="0"/>
        <w:rPr>
          <w:sz w:val="22"/>
        </w:rPr>
        <w:sectPr>
          <w:pgSz w:w="11910" w:h="16840"/>
          <w:pgMar w:header="0" w:footer="642" w:top="1040" w:bottom="920" w:left="1020" w:right="760"/>
        </w:sectPr>
      </w:pPr>
    </w:p>
    <w:p>
      <w:pPr>
        <w:tabs>
          <w:tab w:pos="1955" w:val="left" w:leader="none"/>
        </w:tabs>
        <w:spacing w:before="74"/>
        <w:ind w:left="112" w:right="0" w:firstLine="0"/>
        <w:jc w:val="left"/>
        <w:rPr>
          <w:sz w:val="28"/>
        </w:rPr>
      </w:pPr>
      <w:r>
        <w:rPr>
          <w:color w:val="548CD4"/>
          <w:w w:val="120"/>
          <w:sz w:val="28"/>
        </w:rPr>
        <w:t>Appendix</w:t>
      </w:r>
      <w:r>
        <w:rPr>
          <w:color w:val="548CD4"/>
          <w:spacing w:val="-28"/>
          <w:w w:val="120"/>
          <w:sz w:val="28"/>
        </w:rPr>
        <w:t> </w:t>
      </w:r>
      <w:r>
        <w:rPr>
          <w:color w:val="548CD4"/>
          <w:w w:val="120"/>
          <w:sz w:val="28"/>
        </w:rPr>
        <w:t>F:</w:t>
        <w:tab/>
        <w:t>Authenticity Statement Check</w:t>
      </w:r>
      <w:r>
        <w:rPr>
          <w:color w:val="548CD4"/>
          <w:spacing w:val="-29"/>
          <w:w w:val="120"/>
          <w:sz w:val="28"/>
        </w:rPr>
        <w:t> </w:t>
      </w:r>
      <w:r>
        <w:rPr>
          <w:color w:val="548CD4"/>
          <w:w w:val="120"/>
          <w:sz w:val="28"/>
        </w:rPr>
        <w:t>Sheet</w:t>
      </w:r>
    </w:p>
    <w:p>
      <w:pPr>
        <w:pStyle w:val="BodyText"/>
        <w:spacing w:before="2"/>
        <w:rPr>
          <w:sz w:val="28"/>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3545"/>
        <w:gridCol w:w="3792"/>
      </w:tblGrid>
      <w:tr>
        <w:trPr>
          <w:trHeight w:val="757" w:hRule="atLeast"/>
        </w:trPr>
        <w:tc>
          <w:tcPr>
            <w:tcW w:w="9288" w:type="dxa"/>
            <w:gridSpan w:val="3"/>
            <w:shd w:val="clear" w:color="auto" w:fill="FFBF00"/>
          </w:tcPr>
          <w:p>
            <w:pPr>
              <w:pStyle w:val="TableParagraph"/>
              <w:spacing w:before="11"/>
              <w:rPr>
                <w:sz w:val="21"/>
              </w:rPr>
            </w:pPr>
          </w:p>
          <w:p>
            <w:pPr>
              <w:pStyle w:val="TableParagraph"/>
              <w:ind w:left="2757"/>
              <w:rPr>
                <w:sz w:val="22"/>
              </w:rPr>
            </w:pPr>
            <w:r>
              <w:rPr>
                <w:w w:val="120"/>
                <w:sz w:val="22"/>
              </w:rPr>
              <w:t>Authenticity Statement Check Sheet</w:t>
            </w:r>
          </w:p>
        </w:tc>
      </w:tr>
      <w:tr>
        <w:trPr>
          <w:trHeight w:val="746" w:hRule="atLeast"/>
        </w:trPr>
        <w:tc>
          <w:tcPr>
            <w:tcW w:w="9288" w:type="dxa"/>
            <w:gridSpan w:val="3"/>
          </w:tcPr>
          <w:p>
            <w:pPr>
              <w:pStyle w:val="TableParagraph"/>
              <w:spacing w:before="10"/>
              <w:rPr>
                <w:sz w:val="20"/>
              </w:rPr>
            </w:pPr>
          </w:p>
          <w:p>
            <w:pPr>
              <w:pStyle w:val="TableParagraph"/>
              <w:spacing w:before="1"/>
              <w:ind w:left="110"/>
              <w:rPr>
                <w:sz w:val="22"/>
              </w:rPr>
            </w:pPr>
            <w:r>
              <w:rPr>
                <w:w w:val="120"/>
                <w:sz w:val="22"/>
              </w:rPr>
              <w:t>Marker Code:</w:t>
            </w:r>
          </w:p>
        </w:tc>
      </w:tr>
      <w:tr>
        <w:trPr>
          <w:trHeight w:val="760" w:hRule="atLeast"/>
        </w:trPr>
        <w:tc>
          <w:tcPr>
            <w:tcW w:w="1951" w:type="dxa"/>
            <w:shd w:val="clear" w:color="auto" w:fill="91CF50"/>
          </w:tcPr>
          <w:p>
            <w:pPr>
              <w:pStyle w:val="TableParagraph"/>
              <w:spacing w:before="2"/>
              <w:rPr>
                <w:sz w:val="22"/>
              </w:rPr>
            </w:pPr>
          </w:p>
          <w:p>
            <w:pPr>
              <w:pStyle w:val="TableParagraph"/>
              <w:ind w:left="110"/>
              <w:rPr>
                <w:sz w:val="22"/>
              </w:rPr>
            </w:pPr>
            <w:r>
              <w:rPr>
                <w:w w:val="120"/>
                <w:sz w:val="22"/>
              </w:rPr>
              <w:t>School Number</w:t>
            </w:r>
          </w:p>
        </w:tc>
        <w:tc>
          <w:tcPr>
            <w:tcW w:w="7337" w:type="dxa"/>
            <w:gridSpan w:val="2"/>
            <w:shd w:val="clear" w:color="auto" w:fill="91CF50"/>
          </w:tcPr>
          <w:p>
            <w:pPr>
              <w:pStyle w:val="TableParagraph"/>
              <w:spacing w:before="2"/>
              <w:rPr>
                <w:sz w:val="22"/>
              </w:rPr>
            </w:pPr>
          </w:p>
          <w:p>
            <w:pPr>
              <w:pStyle w:val="TableParagraph"/>
              <w:ind w:left="3345" w:right="3336"/>
              <w:jc w:val="center"/>
              <w:rPr>
                <w:sz w:val="22"/>
              </w:rPr>
            </w:pPr>
            <w:r>
              <w:rPr>
                <w:w w:val="115"/>
                <w:sz w:val="22"/>
              </w:rPr>
              <w:t>NSNs</w:t>
            </w:r>
          </w:p>
        </w:tc>
      </w:tr>
      <w:tr>
        <w:trPr>
          <w:trHeight w:val="669" w:hRule="atLeast"/>
        </w:trPr>
        <w:tc>
          <w:tcPr>
            <w:tcW w:w="1951" w:type="dxa"/>
          </w:tcPr>
          <w:p>
            <w:pPr>
              <w:pStyle w:val="TableParagraph"/>
              <w:rPr>
                <w:sz w:val="22"/>
              </w:rPr>
            </w:pPr>
          </w:p>
        </w:tc>
        <w:tc>
          <w:tcPr>
            <w:tcW w:w="3545" w:type="dxa"/>
          </w:tcPr>
          <w:p>
            <w:pPr>
              <w:pStyle w:val="TableParagraph"/>
              <w:rPr>
                <w:sz w:val="22"/>
              </w:rPr>
            </w:pPr>
          </w:p>
        </w:tc>
        <w:tc>
          <w:tcPr>
            <w:tcW w:w="3792" w:type="dxa"/>
          </w:tcPr>
          <w:p>
            <w:pPr>
              <w:pStyle w:val="TableParagraph"/>
              <w:rPr>
                <w:sz w:val="22"/>
              </w:rPr>
            </w:pPr>
          </w:p>
        </w:tc>
      </w:tr>
      <w:tr>
        <w:trPr>
          <w:trHeight w:val="671" w:hRule="atLeast"/>
        </w:trPr>
        <w:tc>
          <w:tcPr>
            <w:tcW w:w="1951" w:type="dxa"/>
          </w:tcPr>
          <w:p>
            <w:pPr>
              <w:pStyle w:val="TableParagraph"/>
              <w:rPr>
                <w:sz w:val="22"/>
              </w:rPr>
            </w:pPr>
          </w:p>
        </w:tc>
        <w:tc>
          <w:tcPr>
            <w:tcW w:w="3545" w:type="dxa"/>
          </w:tcPr>
          <w:p>
            <w:pPr>
              <w:pStyle w:val="TableParagraph"/>
              <w:rPr>
                <w:sz w:val="22"/>
              </w:rPr>
            </w:pPr>
          </w:p>
        </w:tc>
        <w:tc>
          <w:tcPr>
            <w:tcW w:w="3792" w:type="dxa"/>
          </w:tcPr>
          <w:p>
            <w:pPr>
              <w:pStyle w:val="TableParagraph"/>
              <w:rPr>
                <w:sz w:val="22"/>
              </w:rPr>
            </w:pPr>
          </w:p>
        </w:tc>
      </w:tr>
      <w:tr>
        <w:trPr>
          <w:trHeight w:val="671" w:hRule="atLeast"/>
        </w:trPr>
        <w:tc>
          <w:tcPr>
            <w:tcW w:w="1951" w:type="dxa"/>
          </w:tcPr>
          <w:p>
            <w:pPr>
              <w:pStyle w:val="TableParagraph"/>
              <w:rPr>
                <w:sz w:val="22"/>
              </w:rPr>
            </w:pPr>
          </w:p>
        </w:tc>
        <w:tc>
          <w:tcPr>
            <w:tcW w:w="3545" w:type="dxa"/>
          </w:tcPr>
          <w:p>
            <w:pPr>
              <w:pStyle w:val="TableParagraph"/>
              <w:rPr>
                <w:sz w:val="22"/>
              </w:rPr>
            </w:pPr>
          </w:p>
        </w:tc>
        <w:tc>
          <w:tcPr>
            <w:tcW w:w="3792" w:type="dxa"/>
          </w:tcPr>
          <w:p>
            <w:pPr>
              <w:pStyle w:val="TableParagraph"/>
              <w:rPr>
                <w:sz w:val="22"/>
              </w:rPr>
            </w:pPr>
          </w:p>
        </w:tc>
      </w:tr>
      <w:tr>
        <w:trPr>
          <w:trHeight w:val="671" w:hRule="atLeast"/>
        </w:trPr>
        <w:tc>
          <w:tcPr>
            <w:tcW w:w="1951" w:type="dxa"/>
          </w:tcPr>
          <w:p>
            <w:pPr>
              <w:pStyle w:val="TableParagraph"/>
              <w:rPr>
                <w:sz w:val="22"/>
              </w:rPr>
            </w:pPr>
          </w:p>
        </w:tc>
        <w:tc>
          <w:tcPr>
            <w:tcW w:w="3545" w:type="dxa"/>
          </w:tcPr>
          <w:p>
            <w:pPr>
              <w:pStyle w:val="TableParagraph"/>
              <w:rPr>
                <w:sz w:val="22"/>
              </w:rPr>
            </w:pPr>
          </w:p>
        </w:tc>
        <w:tc>
          <w:tcPr>
            <w:tcW w:w="3792" w:type="dxa"/>
          </w:tcPr>
          <w:p>
            <w:pPr>
              <w:pStyle w:val="TableParagraph"/>
              <w:rPr>
                <w:sz w:val="22"/>
              </w:rPr>
            </w:pPr>
          </w:p>
        </w:tc>
      </w:tr>
      <w:tr>
        <w:trPr>
          <w:trHeight w:val="669" w:hRule="atLeast"/>
        </w:trPr>
        <w:tc>
          <w:tcPr>
            <w:tcW w:w="1951" w:type="dxa"/>
          </w:tcPr>
          <w:p>
            <w:pPr>
              <w:pStyle w:val="TableParagraph"/>
              <w:rPr>
                <w:sz w:val="22"/>
              </w:rPr>
            </w:pPr>
          </w:p>
        </w:tc>
        <w:tc>
          <w:tcPr>
            <w:tcW w:w="3545" w:type="dxa"/>
          </w:tcPr>
          <w:p>
            <w:pPr>
              <w:pStyle w:val="TableParagraph"/>
              <w:rPr>
                <w:sz w:val="22"/>
              </w:rPr>
            </w:pPr>
          </w:p>
        </w:tc>
        <w:tc>
          <w:tcPr>
            <w:tcW w:w="3792" w:type="dxa"/>
          </w:tcPr>
          <w:p>
            <w:pPr>
              <w:pStyle w:val="TableParagraph"/>
              <w:rPr>
                <w:sz w:val="22"/>
              </w:rPr>
            </w:pPr>
          </w:p>
        </w:tc>
      </w:tr>
      <w:tr>
        <w:trPr>
          <w:trHeight w:val="671" w:hRule="atLeast"/>
        </w:trPr>
        <w:tc>
          <w:tcPr>
            <w:tcW w:w="1951" w:type="dxa"/>
          </w:tcPr>
          <w:p>
            <w:pPr>
              <w:pStyle w:val="TableParagraph"/>
              <w:rPr>
                <w:sz w:val="22"/>
              </w:rPr>
            </w:pPr>
          </w:p>
        </w:tc>
        <w:tc>
          <w:tcPr>
            <w:tcW w:w="3545" w:type="dxa"/>
          </w:tcPr>
          <w:p>
            <w:pPr>
              <w:pStyle w:val="TableParagraph"/>
              <w:rPr>
                <w:sz w:val="22"/>
              </w:rPr>
            </w:pPr>
          </w:p>
        </w:tc>
        <w:tc>
          <w:tcPr>
            <w:tcW w:w="3792" w:type="dxa"/>
          </w:tcPr>
          <w:p>
            <w:pPr>
              <w:pStyle w:val="TableParagraph"/>
              <w:rPr>
                <w:sz w:val="22"/>
              </w:rPr>
            </w:pPr>
          </w:p>
        </w:tc>
      </w:tr>
      <w:tr>
        <w:trPr>
          <w:trHeight w:val="671" w:hRule="atLeast"/>
        </w:trPr>
        <w:tc>
          <w:tcPr>
            <w:tcW w:w="1951" w:type="dxa"/>
          </w:tcPr>
          <w:p>
            <w:pPr>
              <w:pStyle w:val="TableParagraph"/>
              <w:rPr>
                <w:sz w:val="22"/>
              </w:rPr>
            </w:pPr>
          </w:p>
        </w:tc>
        <w:tc>
          <w:tcPr>
            <w:tcW w:w="3545" w:type="dxa"/>
          </w:tcPr>
          <w:p>
            <w:pPr>
              <w:pStyle w:val="TableParagraph"/>
              <w:rPr>
                <w:sz w:val="22"/>
              </w:rPr>
            </w:pPr>
          </w:p>
        </w:tc>
        <w:tc>
          <w:tcPr>
            <w:tcW w:w="3792" w:type="dxa"/>
          </w:tcPr>
          <w:p>
            <w:pPr>
              <w:pStyle w:val="TableParagraph"/>
              <w:rPr>
                <w:sz w:val="22"/>
              </w:rPr>
            </w:pPr>
          </w:p>
        </w:tc>
      </w:tr>
      <w:tr>
        <w:trPr>
          <w:trHeight w:val="671" w:hRule="atLeast"/>
        </w:trPr>
        <w:tc>
          <w:tcPr>
            <w:tcW w:w="1951" w:type="dxa"/>
          </w:tcPr>
          <w:p>
            <w:pPr>
              <w:pStyle w:val="TableParagraph"/>
              <w:rPr>
                <w:sz w:val="22"/>
              </w:rPr>
            </w:pPr>
          </w:p>
        </w:tc>
        <w:tc>
          <w:tcPr>
            <w:tcW w:w="3545" w:type="dxa"/>
          </w:tcPr>
          <w:p>
            <w:pPr>
              <w:pStyle w:val="TableParagraph"/>
              <w:rPr>
                <w:sz w:val="22"/>
              </w:rPr>
            </w:pPr>
          </w:p>
        </w:tc>
        <w:tc>
          <w:tcPr>
            <w:tcW w:w="3792" w:type="dxa"/>
          </w:tcPr>
          <w:p>
            <w:pPr>
              <w:pStyle w:val="TableParagraph"/>
              <w:rPr>
                <w:sz w:val="22"/>
              </w:rPr>
            </w:pPr>
          </w:p>
        </w:tc>
      </w:tr>
      <w:tr>
        <w:trPr>
          <w:trHeight w:val="669" w:hRule="atLeast"/>
        </w:trPr>
        <w:tc>
          <w:tcPr>
            <w:tcW w:w="1951" w:type="dxa"/>
          </w:tcPr>
          <w:p>
            <w:pPr>
              <w:pStyle w:val="TableParagraph"/>
              <w:rPr>
                <w:sz w:val="22"/>
              </w:rPr>
            </w:pPr>
          </w:p>
        </w:tc>
        <w:tc>
          <w:tcPr>
            <w:tcW w:w="3545" w:type="dxa"/>
          </w:tcPr>
          <w:p>
            <w:pPr>
              <w:pStyle w:val="TableParagraph"/>
              <w:rPr>
                <w:sz w:val="22"/>
              </w:rPr>
            </w:pPr>
          </w:p>
        </w:tc>
        <w:tc>
          <w:tcPr>
            <w:tcW w:w="3792" w:type="dxa"/>
          </w:tcPr>
          <w:p>
            <w:pPr>
              <w:pStyle w:val="TableParagraph"/>
              <w:rPr>
                <w:sz w:val="22"/>
              </w:rPr>
            </w:pPr>
          </w:p>
        </w:tc>
      </w:tr>
      <w:tr>
        <w:trPr>
          <w:trHeight w:val="671" w:hRule="atLeast"/>
        </w:trPr>
        <w:tc>
          <w:tcPr>
            <w:tcW w:w="1951" w:type="dxa"/>
          </w:tcPr>
          <w:p>
            <w:pPr>
              <w:pStyle w:val="TableParagraph"/>
              <w:rPr>
                <w:sz w:val="22"/>
              </w:rPr>
            </w:pPr>
          </w:p>
        </w:tc>
        <w:tc>
          <w:tcPr>
            <w:tcW w:w="3545" w:type="dxa"/>
          </w:tcPr>
          <w:p>
            <w:pPr>
              <w:pStyle w:val="TableParagraph"/>
              <w:rPr>
                <w:sz w:val="22"/>
              </w:rPr>
            </w:pPr>
          </w:p>
        </w:tc>
        <w:tc>
          <w:tcPr>
            <w:tcW w:w="3792" w:type="dxa"/>
          </w:tcPr>
          <w:p>
            <w:pPr>
              <w:pStyle w:val="TableParagraph"/>
              <w:rPr>
                <w:sz w:val="22"/>
              </w:rPr>
            </w:pPr>
          </w:p>
        </w:tc>
      </w:tr>
      <w:tr>
        <w:trPr>
          <w:trHeight w:val="671" w:hRule="atLeast"/>
        </w:trPr>
        <w:tc>
          <w:tcPr>
            <w:tcW w:w="1951" w:type="dxa"/>
          </w:tcPr>
          <w:p>
            <w:pPr>
              <w:pStyle w:val="TableParagraph"/>
              <w:rPr>
                <w:sz w:val="22"/>
              </w:rPr>
            </w:pPr>
          </w:p>
        </w:tc>
        <w:tc>
          <w:tcPr>
            <w:tcW w:w="3545" w:type="dxa"/>
          </w:tcPr>
          <w:p>
            <w:pPr>
              <w:pStyle w:val="TableParagraph"/>
              <w:rPr>
                <w:sz w:val="22"/>
              </w:rPr>
            </w:pPr>
          </w:p>
        </w:tc>
        <w:tc>
          <w:tcPr>
            <w:tcW w:w="3792" w:type="dxa"/>
          </w:tcPr>
          <w:p>
            <w:pPr>
              <w:pStyle w:val="TableParagraph"/>
              <w:rPr>
                <w:sz w:val="22"/>
              </w:rPr>
            </w:pPr>
          </w:p>
        </w:tc>
      </w:tr>
      <w:tr>
        <w:trPr>
          <w:trHeight w:val="671" w:hRule="atLeast"/>
        </w:trPr>
        <w:tc>
          <w:tcPr>
            <w:tcW w:w="1951" w:type="dxa"/>
          </w:tcPr>
          <w:p>
            <w:pPr>
              <w:pStyle w:val="TableParagraph"/>
              <w:rPr>
                <w:sz w:val="22"/>
              </w:rPr>
            </w:pPr>
          </w:p>
        </w:tc>
        <w:tc>
          <w:tcPr>
            <w:tcW w:w="3545" w:type="dxa"/>
          </w:tcPr>
          <w:p>
            <w:pPr>
              <w:pStyle w:val="TableParagraph"/>
              <w:rPr>
                <w:sz w:val="22"/>
              </w:rPr>
            </w:pPr>
          </w:p>
        </w:tc>
        <w:tc>
          <w:tcPr>
            <w:tcW w:w="3792" w:type="dxa"/>
          </w:tcPr>
          <w:p>
            <w:pPr>
              <w:pStyle w:val="TableParagraph"/>
              <w:rPr>
                <w:sz w:val="22"/>
              </w:rPr>
            </w:pPr>
          </w:p>
        </w:tc>
      </w:tr>
      <w:tr>
        <w:trPr>
          <w:trHeight w:val="669" w:hRule="atLeast"/>
        </w:trPr>
        <w:tc>
          <w:tcPr>
            <w:tcW w:w="1951" w:type="dxa"/>
          </w:tcPr>
          <w:p>
            <w:pPr>
              <w:pStyle w:val="TableParagraph"/>
              <w:rPr>
                <w:sz w:val="22"/>
              </w:rPr>
            </w:pPr>
          </w:p>
        </w:tc>
        <w:tc>
          <w:tcPr>
            <w:tcW w:w="3545" w:type="dxa"/>
          </w:tcPr>
          <w:p>
            <w:pPr>
              <w:pStyle w:val="TableParagraph"/>
              <w:rPr>
                <w:sz w:val="22"/>
              </w:rPr>
            </w:pPr>
          </w:p>
        </w:tc>
        <w:tc>
          <w:tcPr>
            <w:tcW w:w="3792" w:type="dxa"/>
          </w:tcPr>
          <w:p>
            <w:pPr>
              <w:pStyle w:val="TableParagraph"/>
              <w:rPr>
                <w:sz w:val="22"/>
              </w:rPr>
            </w:pPr>
          </w:p>
        </w:tc>
      </w:tr>
      <w:tr>
        <w:trPr>
          <w:trHeight w:val="671" w:hRule="atLeast"/>
        </w:trPr>
        <w:tc>
          <w:tcPr>
            <w:tcW w:w="1951" w:type="dxa"/>
          </w:tcPr>
          <w:p>
            <w:pPr>
              <w:pStyle w:val="TableParagraph"/>
              <w:rPr>
                <w:sz w:val="22"/>
              </w:rPr>
            </w:pPr>
          </w:p>
        </w:tc>
        <w:tc>
          <w:tcPr>
            <w:tcW w:w="3545" w:type="dxa"/>
          </w:tcPr>
          <w:p>
            <w:pPr>
              <w:pStyle w:val="TableParagraph"/>
              <w:rPr>
                <w:sz w:val="22"/>
              </w:rPr>
            </w:pPr>
          </w:p>
        </w:tc>
        <w:tc>
          <w:tcPr>
            <w:tcW w:w="3792" w:type="dxa"/>
          </w:tcPr>
          <w:p>
            <w:pPr>
              <w:pStyle w:val="TableParagraph"/>
              <w:rPr>
                <w:sz w:val="22"/>
              </w:rPr>
            </w:pPr>
          </w:p>
        </w:tc>
      </w:tr>
      <w:tr>
        <w:trPr>
          <w:trHeight w:val="671" w:hRule="atLeast"/>
        </w:trPr>
        <w:tc>
          <w:tcPr>
            <w:tcW w:w="1951" w:type="dxa"/>
          </w:tcPr>
          <w:p>
            <w:pPr>
              <w:pStyle w:val="TableParagraph"/>
              <w:rPr>
                <w:sz w:val="22"/>
              </w:rPr>
            </w:pPr>
          </w:p>
        </w:tc>
        <w:tc>
          <w:tcPr>
            <w:tcW w:w="3545" w:type="dxa"/>
          </w:tcPr>
          <w:p>
            <w:pPr>
              <w:pStyle w:val="TableParagraph"/>
              <w:rPr>
                <w:sz w:val="22"/>
              </w:rPr>
            </w:pPr>
          </w:p>
        </w:tc>
        <w:tc>
          <w:tcPr>
            <w:tcW w:w="3792" w:type="dxa"/>
          </w:tcPr>
          <w:p>
            <w:pPr>
              <w:pStyle w:val="TableParagraph"/>
              <w:rPr>
                <w:sz w:val="22"/>
              </w:rPr>
            </w:pPr>
          </w:p>
        </w:tc>
      </w:tr>
    </w:tbl>
    <w:p>
      <w:pPr>
        <w:spacing w:after="0"/>
        <w:rPr>
          <w:sz w:val="22"/>
        </w:rPr>
        <w:sectPr>
          <w:pgSz w:w="11910" w:h="16840"/>
          <w:pgMar w:header="0" w:footer="642" w:top="1040" w:bottom="920" w:left="1020" w:right="760"/>
        </w:sectPr>
      </w:pPr>
    </w:p>
    <w:p>
      <w:pPr>
        <w:spacing w:line="242" w:lineRule="auto" w:before="74"/>
        <w:ind w:left="1955" w:right="447" w:hanging="1844"/>
        <w:jc w:val="left"/>
        <w:rPr>
          <w:sz w:val="28"/>
        </w:rPr>
      </w:pPr>
      <w:r>
        <w:rPr>
          <w:color w:val="548CD4"/>
          <w:w w:val="115"/>
          <w:sz w:val="28"/>
        </w:rPr>
        <w:t>Appendix G: Excess Portfolio Material Sheet or Submissions in Clear Files</w:t>
      </w:r>
    </w:p>
    <w:p>
      <w:pPr>
        <w:pStyle w:val="BodyText"/>
        <w:spacing w:before="248"/>
        <w:ind w:left="112" w:right="3698"/>
      </w:pPr>
      <w:r>
        <w:rPr/>
        <w:pict>
          <v:group style="position:absolute;margin-left:347.639984pt;margin-top:12.469568pt;width:181.45pt;height:54pt;mso-position-horizontal-relative:page;mso-position-vertical-relative:paragraph;z-index:1720" coordorigin="6953,249" coordsize="3629,1080">
            <v:shape style="position:absolute;left:6952;top:249;width:3629;height:1080" coordorigin="6953,249" coordsize="3629,1080" path="m10582,1329l6953,1329,6953,249,10582,249,10582,257,6967,257,6960,266,6967,266,6967,1315,6960,1315,6967,1322,10582,1322,10582,1329xm6967,266l6960,266,6967,257,6967,266xm10567,266l6967,266,6967,257,10567,257,10567,266xm10567,1322l10567,257,10574,266,10582,266,10582,1315,10574,1315,10567,1322xm10582,266l10574,266,10567,257,10582,257,10582,266xm6967,1322l6960,1315,6967,1315,6967,1322xm10567,1322l6967,1322,6967,1315,10567,1315,10567,1322xm10582,1322l10567,1322,10574,1315,10582,1315,10582,1322xe" filled="true" fillcolor="#000000" stroked="false">
              <v:path arrowok="t"/>
              <v:fill type="solid"/>
            </v:shape>
            <v:shape style="position:absolute;left:6952;top:249;width:3629;height:1080" type="#_x0000_t202" filled="false" stroked="false">
              <v:textbox inset="0,0,0,0">
                <w:txbxContent>
                  <w:p>
                    <w:pPr>
                      <w:spacing w:before="147"/>
                      <w:ind w:left="158" w:right="0" w:firstLine="0"/>
                      <w:jc w:val="left"/>
                      <w:rPr>
                        <w:sz w:val="22"/>
                      </w:rPr>
                    </w:pPr>
                    <w:r>
                      <w:rPr>
                        <w:w w:val="120"/>
                        <w:sz w:val="22"/>
                      </w:rPr>
                      <w:t>Marker Code:</w:t>
                    </w:r>
                  </w:p>
                  <w:p>
                    <w:pPr>
                      <w:spacing w:line="240" w:lineRule="auto" w:before="0"/>
                      <w:rPr>
                        <w:sz w:val="22"/>
                      </w:rPr>
                    </w:pPr>
                  </w:p>
                  <w:p>
                    <w:pPr>
                      <w:spacing w:before="1"/>
                      <w:ind w:left="158" w:right="0" w:firstLine="0"/>
                      <w:jc w:val="left"/>
                      <w:rPr>
                        <w:sz w:val="22"/>
                      </w:rPr>
                    </w:pPr>
                    <w:r>
                      <w:rPr>
                        <w:w w:val="115"/>
                        <w:sz w:val="22"/>
                      </w:rPr>
                      <w:t>Name:</w:t>
                    </w:r>
                  </w:p>
                </w:txbxContent>
              </v:textbox>
              <w10:wrap type="none"/>
            </v:shape>
            <w10:wrap type="none"/>
          </v:group>
        </w:pict>
      </w:r>
      <w:r>
        <w:rPr>
          <w:w w:val="105"/>
        </w:rPr>
        <w:t>SCHOOLS THAT EXCEED THE RECOMMENDED PORTFOLIO SUBMISSION GUIDE</w:t>
      </w:r>
    </w:p>
    <w:p>
      <w:pPr>
        <w:pStyle w:val="BodyText"/>
      </w:pPr>
    </w:p>
    <w:p>
      <w:pPr>
        <w:pStyle w:val="BodyText"/>
        <w:ind w:left="112"/>
      </w:pPr>
      <w:r>
        <w:rPr>
          <w:w w:val="115"/>
        </w:rPr>
        <w:t>Portfolio page guideline:</w:t>
      </w:r>
    </w:p>
    <w:p>
      <w:pPr>
        <w:pStyle w:val="BodyText"/>
      </w:pPr>
    </w:p>
    <w:p>
      <w:pPr>
        <w:pStyle w:val="BodyText"/>
        <w:ind w:left="112"/>
      </w:pPr>
      <w:r>
        <w:rPr>
          <w:w w:val="115"/>
        </w:rPr>
        <w:t>Level 1:  91063 = 15 pages; 91064 = 5 pages; 91065 = 4</w:t>
      </w:r>
      <w:r>
        <w:rPr>
          <w:spacing w:val="1"/>
          <w:w w:val="115"/>
        </w:rPr>
        <w:t> </w:t>
      </w:r>
      <w:r>
        <w:rPr>
          <w:w w:val="115"/>
        </w:rPr>
        <w:t>pages.</w:t>
      </w:r>
    </w:p>
    <w:p>
      <w:pPr>
        <w:pStyle w:val="BodyText"/>
      </w:pPr>
    </w:p>
    <w:p>
      <w:pPr>
        <w:pStyle w:val="BodyText"/>
        <w:spacing w:before="1"/>
        <w:ind w:left="112"/>
      </w:pPr>
      <w:r>
        <w:rPr>
          <w:w w:val="115"/>
        </w:rPr>
        <w:t>Level 2:  91337 = 15 pages; 91338 = 7 pages; 91339 = 5</w:t>
      </w:r>
      <w:r>
        <w:rPr>
          <w:spacing w:val="1"/>
          <w:w w:val="115"/>
        </w:rPr>
        <w:t> </w:t>
      </w:r>
      <w:r>
        <w:rPr>
          <w:w w:val="115"/>
        </w:rPr>
        <w:t>pages.</w:t>
      </w:r>
    </w:p>
    <w:p>
      <w:pPr>
        <w:pStyle w:val="BodyText"/>
      </w:pPr>
    </w:p>
    <w:p>
      <w:pPr>
        <w:pStyle w:val="BodyText"/>
        <w:ind w:left="112"/>
      </w:pPr>
      <w:r>
        <w:rPr>
          <w:w w:val="115"/>
        </w:rPr>
        <w:t>Level 3: 91627 = 35 pages; 91631 = 15 pages.</w:t>
      </w:r>
    </w:p>
    <w:p>
      <w:pPr>
        <w:pStyle w:val="BodyText"/>
      </w:pPr>
    </w:p>
    <w:p>
      <w:pPr>
        <w:pStyle w:val="BodyText"/>
        <w:spacing w:before="1"/>
        <w:ind w:left="112"/>
      </w:pPr>
      <w:r>
        <w:rPr>
          <w:w w:val="110"/>
        </w:rPr>
        <w:t>Please identify schools where the submission was in excess of the guidelines for most students.</w:t>
      </w:r>
    </w:p>
    <w:p>
      <w:pPr>
        <w:pStyle w:val="BodyText"/>
        <w:spacing w:before="10"/>
        <w:rPr>
          <w:sz w:val="21"/>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70"/>
        <w:gridCol w:w="1133"/>
        <w:gridCol w:w="4800"/>
      </w:tblGrid>
      <w:tr>
        <w:trPr>
          <w:trHeight w:val="491" w:hRule="atLeast"/>
        </w:trPr>
        <w:tc>
          <w:tcPr>
            <w:tcW w:w="3370" w:type="dxa"/>
            <w:shd w:val="clear" w:color="auto" w:fill="FFBF00"/>
          </w:tcPr>
          <w:p>
            <w:pPr>
              <w:pStyle w:val="TableParagraph"/>
              <w:spacing w:before="121"/>
              <w:ind w:left="110"/>
              <w:rPr>
                <w:sz w:val="22"/>
              </w:rPr>
            </w:pPr>
            <w:r>
              <w:rPr>
                <w:w w:val="120"/>
                <w:sz w:val="22"/>
              </w:rPr>
              <w:t>School</w:t>
            </w:r>
          </w:p>
        </w:tc>
        <w:tc>
          <w:tcPr>
            <w:tcW w:w="1133" w:type="dxa"/>
            <w:shd w:val="clear" w:color="auto" w:fill="FFBF00"/>
          </w:tcPr>
          <w:p>
            <w:pPr>
              <w:pStyle w:val="TableParagraph"/>
              <w:spacing w:before="121"/>
              <w:ind w:left="107"/>
              <w:rPr>
                <w:sz w:val="22"/>
              </w:rPr>
            </w:pPr>
            <w:r>
              <w:rPr>
                <w:w w:val="120"/>
                <w:sz w:val="22"/>
              </w:rPr>
              <w:t>Code</w:t>
            </w:r>
          </w:p>
        </w:tc>
        <w:tc>
          <w:tcPr>
            <w:tcW w:w="4800" w:type="dxa"/>
            <w:shd w:val="clear" w:color="auto" w:fill="FFBF00"/>
          </w:tcPr>
          <w:p>
            <w:pPr>
              <w:pStyle w:val="TableParagraph"/>
              <w:spacing w:before="121"/>
              <w:ind w:left="109"/>
              <w:rPr>
                <w:sz w:val="22"/>
              </w:rPr>
            </w:pPr>
            <w:r>
              <w:rPr>
                <w:w w:val="120"/>
                <w:sz w:val="22"/>
              </w:rPr>
              <w:t>Comment</w:t>
            </w:r>
          </w:p>
        </w:tc>
      </w:tr>
      <w:tr>
        <w:trPr>
          <w:trHeight w:val="436" w:hRule="atLeast"/>
        </w:trPr>
        <w:tc>
          <w:tcPr>
            <w:tcW w:w="3370" w:type="dxa"/>
          </w:tcPr>
          <w:p>
            <w:pPr>
              <w:pStyle w:val="TableParagraph"/>
              <w:rPr>
                <w:sz w:val="22"/>
              </w:rPr>
            </w:pPr>
          </w:p>
        </w:tc>
        <w:tc>
          <w:tcPr>
            <w:tcW w:w="1133" w:type="dxa"/>
          </w:tcPr>
          <w:p>
            <w:pPr>
              <w:pStyle w:val="TableParagraph"/>
              <w:rPr>
                <w:sz w:val="22"/>
              </w:rPr>
            </w:pPr>
          </w:p>
        </w:tc>
        <w:tc>
          <w:tcPr>
            <w:tcW w:w="4800" w:type="dxa"/>
          </w:tcPr>
          <w:p>
            <w:pPr>
              <w:pStyle w:val="TableParagraph"/>
              <w:rPr>
                <w:sz w:val="22"/>
              </w:rPr>
            </w:pPr>
          </w:p>
        </w:tc>
      </w:tr>
      <w:tr>
        <w:trPr>
          <w:trHeight w:val="450" w:hRule="atLeast"/>
        </w:trPr>
        <w:tc>
          <w:tcPr>
            <w:tcW w:w="3370" w:type="dxa"/>
          </w:tcPr>
          <w:p>
            <w:pPr>
              <w:pStyle w:val="TableParagraph"/>
              <w:rPr>
                <w:sz w:val="22"/>
              </w:rPr>
            </w:pPr>
          </w:p>
        </w:tc>
        <w:tc>
          <w:tcPr>
            <w:tcW w:w="1133" w:type="dxa"/>
          </w:tcPr>
          <w:p>
            <w:pPr>
              <w:pStyle w:val="TableParagraph"/>
              <w:rPr>
                <w:sz w:val="22"/>
              </w:rPr>
            </w:pPr>
          </w:p>
        </w:tc>
        <w:tc>
          <w:tcPr>
            <w:tcW w:w="4800" w:type="dxa"/>
          </w:tcPr>
          <w:p>
            <w:pPr>
              <w:pStyle w:val="TableParagraph"/>
              <w:rPr>
                <w:sz w:val="22"/>
              </w:rPr>
            </w:pPr>
          </w:p>
        </w:tc>
      </w:tr>
      <w:tr>
        <w:trPr>
          <w:trHeight w:val="436" w:hRule="atLeast"/>
        </w:trPr>
        <w:tc>
          <w:tcPr>
            <w:tcW w:w="3370" w:type="dxa"/>
          </w:tcPr>
          <w:p>
            <w:pPr>
              <w:pStyle w:val="TableParagraph"/>
              <w:rPr>
                <w:sz w:val="22"/>
              </w:rPr>
            </w:pPr>
          </w:p>
        </w:tc>
        <w:tc>
          <w:tcPr>
            <w:tcW w:w="1133" w:type="dxa"/>
          </w:tcPr>
          <w:p>
            <w:pPr>
              <w:pStyle w:val="TableParagraph"/>
              <w:rPr>
                <w:sz w:val="22"/>
              </w:rPr>
            </w:pPr>
          </w:p>
        </w:tc>
        <w:tc>
          <w:tcPr>
            <w:tcW w:w="4800" w:type="dxa"/>
          </w:tcPr>
          <w:p>
            <w:pPr>
              <w:pStyle w:val="TableParagraph"/>
              <w:rPr>
                <w:sz w:val="22"/>
              </w:rPr>
            </w:pPr>
          </w:p>
        </w:tc>
      </w:tr>
      <w:tr>
        <w:trPr>
          <w:trHeight w:val="453" w:hRule="atLeast"/>
        </w:trPr>
        <w:tc>
          <w:tcPr>
            <w:tcW w:w="3370" w:type="dxa"/>
          </w:tcPr>
          <w:p>
            <w:pPr>
              <w:pStyle w:val="TableParagraph"/>
              <w:rPr>
                <w:sz w:val="22"/>
              </w:rPr>
            </w:pPr>
          </w:p>
        </w:tc>
        <w:tc>
          <w:tcPr>
            <w:tcW w:w="1133" w:type="dxa"/>
          </w:tcPr>
          <w:p>
            <w:pPr>
              <w:pStyle w:val="TableParagraph"/>
              <w:rPr>
                <w:sz w:val="22"/>
              </w:rPr>
            </w:pPr>
          </w:p>
        </w:tc>
        <w:tc>
          <w:tcPr>
            <w:tcW w:w="4800" w:type="dxa"/>
          </w:tcPr>
          <w:p>
            <w:pPr>
              <w:pStyle w:val="TableParagraph"/>
              <w:rPr>
                <w:sz w:val="22"/>
              </w:rPr>
            </w:pPr>
          </w:p>
        </w:tc>
      </w:tr>
      <w:tr>
        <w:trPr>
          <w:trHeight w:val="436" w:hRule="atLeast"/>
        </w:trPr>
        <w:tc>
          <w:tcPr>
            <w:tcW w:w="3370" w:type="dxa"/>
          </w:tcPr>
          <w:p>
            <w:pPr>
              <w:pStyle w:val="TableParagraph"/>
              <w:rPr>
                <w:sz w:val="22"/>
              </w:rPr>
            </w:pPr>
          </w:p>
        </w:tc>
        <w:tc>
          <w:tcPr>
            <w:tcW w:w="1133" w:type="dxa"/>
          </w:tcPr>
          <w:p>
            <w:pPr>
              <w:pStyle w:val="TableParagraph"/>
              <w:rPr>
                <w:sz w:val="22"/>
              </w:rPr>
            </w:pPr>
          </w:p>
        </w:tc>
        <w:tc>
          <w:tcPr>
            <w:tcW w:w="4800" w:type="dxa"/>
          </w:tcPr>
          <w:p>
            <w:pPr>
              <w:pStyle w:val="TableParagraph"/>
              <w:rPr>
                <w:sz w:val="22"/>
              </w:rPr>
            </w:pPr>
          </w:p>
        </w:tc>
      </w:tr>
      <w:tr>
        <w:trPr>
          <w:trHeight w:val="450" w:hRule="atLeast"/>
        </w:trPr>
        <w:tc>
          <w:tcPr>
            <w:tcW w:w="3370" w:type="dxa"/>
          </w:tcPr>
          <w:p>
            <w:pPr>
              <w:pStyle w:val="TableParagraph"/>
              <w:rPr>
                <w:sz w:val="22"/>
              </w:rPr>
            </w:pPr>
          </w:p>
        </w:tc>
        <w:tc>
          <w:tcPr>
            <w:tcW w:w="1133" w:type="dxa"/>
          </w:tcPr>
          <w:p>
            <w:pPr>
              <w:pStyle w:val="TableParagraph"/>
              <w:rPr>
                <w:sz w:val="22"/>
              </w:rPr>
            </w:pPr>
          </w:p>
        </w:tc>
        <w:tc>
          <w:tcPr>
            <w:tcW w:w="4800" w:type="dxa"/>
          </w:tcPr>
          <w:p>
            <w:pPr>
              <w:pStyle w:val="TableParagraph"/>
              <w:rPr>
                <w:sz w:val="22"/>
              </w:rPr>
            </w:pPr>
          </w:p>
        </w:tc>
      </w:tr>
      <w:tr>
        <w:trPr>
          <w:trHeight w:val="436" w:hRule="atLeast"/>
        </w:trPr>
        <w:tc>
          <w:tcPr>
            <w:tcW w:w="3370" w:type="dxa"/>
          </w:tcPr>
          <w:p>
            <w:pPr>
              <w:pStyle w:val="TableParagraph"/>
              <w:rPr>
                <w:sz w:val="22"/>
              </w:rPr>
            </w:pPr>
          </w:p>
        </w:tc>
        <w:tc>
          <w:tcPr>
            <w:tcW w:w="1133" w:type="dxa"/>
          </w:tcPr>
          <w:p>
            <w:pPr>
              <w:pStyle w:val="TableParagraph"/>
              <w:rPr>
                <w:sz w:val="22"/>
              </w:rPr>
            </w:pPr>
          </w:p>
        </w:tc>
        <w:tc>
          <w:tcPr>
            <w:tcW w:w="4800" w:type="dxa"/>
          </w:tcPr>
          <w:p>
            <w:pPr>
              <w:pStyle w:val="TableParagraph"/>
              <w:rPr>
                <w:sz w:val="22"/>
              </w:rPr>
            </w:pPr>
          </w:p>
        </w:tc>
      </w:tr>
      <w:tr>
        <w:trPr>
          <w:trHeight w:val="450" w:hRule="atLeast"/>
        </w:trPr>
        <w:tc>
          <w:tcPr>
            <w:tcW w:w="3370" w:type="dxa"/>
          </w:tcPr>
          <w:p>
            <w:pPr>
              <w:pStyle w:val="TableParagraph"/>
              <w:rPr>
                <w:sz w:val="22"/>
              </w:rPr>
            </w:pPr>
          </w:p>
        </w:tc>
        <w:tc>
          <w:tcPr>
            <w:tcW w:w="1133" w:type="dxa"/>
          </w:tcPr>
          <w:p>
            <w:pPr>
              <w:pStyle w:val="TableParagraph"/>
              <w:rPr>
                <w:sz w:val="22"/>
              </w:rPr>
            </w:pPr>
          </w:p>
        </w:tc>
        <w:tc>
          <w:tcPr>
            <w:tcW w:w="4800" w:type="dxa"/>
          </w:tcPr>
          <w:p>
            <w:pPr>
              <w:pStyle w:val="TableParagraph"/>
              <w:rPr>
                <w:sz w:val="22"/>
              </w:rPr>
            </w:pPr>
          </w:p>
        </w:tc>
      </w:tr>
      <w:tr>
        <w:trPr>
          <w:trHeight w:val="436" w:hRule="atLeast"/>
        </w:trPr>
        <w:tc>
          <w:tcPr>
            <w:tcW w:w="3370" w:type="dxa"/>
          </w:tcPr>
          <w:p>
            <w:pPr>
              <w:pStyle w:val="TableParagraph"/>
              <w:rPr>
                <w:sz w:val="22"/>
              </w:rPr>
            </w:pPr>
          </w:p>
        </w:tc>
        <w:tc>
          <w:tcPr>
            <w:tcW w:w="1133" w:type="dxa"/>
          </w:tcPr>
          <w:p>
            <w:pPr>
              <w:pStyle w:val="TableParagraph"/>
              <w:rPr>
                <w:sz w:val="22"/>
              </w:rPr>
            </w:pPr>
          </w:p>
        </w:tc>
        <w:tc>
          <w:tcPr>
            <w:tcW w:w="4800" w:type="dxa"/>
          </w:tcPr>
          <w:p>
            <w:pPr>
              <w:pStyle w:val="TableParagraph"/>
              <w:rPr>
                <w:sz w:val="22"/>
              </w:rPr>
            </w:pPr>
          </w:p>
        </w:tc>
      </w:tr>
      <w:tr>
        <w:trPr>
          <w:trHeight w:val="453" w:hRule="atLeast"/>
        </w:trPr>
        <w:tc>
          <w:tcPr>
            <w:tcW w:w="3370" w:type="dxa"/>
          </w:tcPr>
          <w:p>
            <w:pPr>
              <w:pStyle w:val="TableParagraph"/>
              <w:rPr>
                <w:sz w:val="22"/>
              </w:rPr>
            </w:pPr>
          </w:p>
        </w:tc>
        <w:tc>
          <w:tcPr>
            <w:tcW w:w="1133" w:type="dxa"/>
          </w:tcPr>
          <w:p>
            <w:pPr>
              <w:pStyle w:val="TableParagraph"/>
              <w:rPr>
                <w:sz w:val="22"/>
              </w:rPr>
            </w:pPr>
          </w:p>
        </w:tc>
        <w:tc>
          <w:tcPr>
            <w:tcW w:w="4800" w:type="dxa"/>
          </w:tcPr>
          <w:p>
            <w:pPr>
              <w:pStyle w:val="TableParagraph"/>
              <w:rPr>
                <w:sz w:val="22"/>
              </w:rPr>
            </w:pPr>
          </w:p>
        </w:tc>
      </w:tr>
      <w:tr>
        <w:trPr>
          <w:trHeight w:val="436" w:hRule="atLeast"/>
        </w:trPr>
        <w:tc>
          <w:tcPr>
            <w:tcW w:w="3370" w:type="dxa"/>
          </w:tcPr>
          <w:p>
            <w:pPr>
              <w:pStyle w:val="TableParagraph"/>
              <w:rPr>
                <w:sz w:val="22"/>
              </w:rPr>
            </w:pPr>
          </w:p>
        </w:tc>
        <w:tc>
          <w:tcPr>
            <w:tcW w:w="1133" w:type="dxa"/>
          </w:tcPr>
          <w:p>
            <w:pPr>
              <w:pStyle w:val="TableParagraph"/>
              <w:rPr>
                <w:sz w:val="22"/>
              </w:rPr>
            </w:pPr>
          </w:p>
        </w:tc>
        <w:tc>
          <w:tcPr>
            <w:tcW w:w="4800" w:type="dxa"/>
          </w:tcPr>
          <w:p>
            <w:pPr>
              <w:pStyle w:val="TableParagraph"/>
              <w:rPr>
                <w:sz w:val="22"/>
              </w:rPr>
            </w:pPr>
          </w:p>
        </w:tc>
      </w:tr>
      <w:tr>
        <w:trPr>
          <w:trHeight w:val="450" w:hRule="atLeast"/>
        </w:trPr>
        <w:tc>
          <w:tcPr>
            <w:tcW w:w="3370" w:type="dxa"/>
          </w:tcPr>
          <w:p>
            <w:pPr>
              <w:pStyle w:val="TableParagraph"/>
              <w:rPr>
                <w:sz w:val="22"/>
              </w:rPr>
            </w:pPr>
          </w:p>
        </w:tc>
        <w:tc>
          <w:tcPr>
            <w:tcW w:w="1133" w:type="dxa"/>
          </w:tcPr>
          <w:p>
            <w:pPr>
              <w:pStyle w:val="TableParagraph"/>
              <w:rPr>
                <w:sz w:val="22"/>
              </w:rPr>
            </w:pPr>
          </w:p>
        </w:tc>
        <w:tc>
          <w:tcPr>
            <w:tcW w:w="4800" w:type="dxa"/>
          </w:tcPr>
          <w:p>
            <w:pPr>
              <w:pStyle w:val="TableParagraph"/>
              <w:rPr>
                <w:sz w:val="22"/>
              </w:rPr>
            </w:pPr>
          </w:p>
        </w:tc>
      </w:tr>
      <w:tr>
        <w:trPr>
          <w:trHeight w:val="436" w:hRule="atLeast"/>
        </w:trPr>
        <w:tc>
          <w:tcPr>
            <w:tcW w:w="3370" w:type="dxa"/>
          </w:tcPr>
          <w:p>
            <w:pPr>
              <w:pStyle w:val="TableParagraph"/>
              <w:rPr>
                <w:sz w:val="22"/>
              </w:rPr>
            </w:pPr>
          </w:p>
        </w:tc>
        <w:tc>
          <w:tcPr>
            <w:tcW w:w="1133" w:type="dxa"/>
          </w:tcPr>
          <w:p>
            <w:pPr>
              <w:pStyle w:val="TableParagraph"/>
              <w:rPr>
                <w:sz w:val="22"/>
              </w:rPr>
            </w:pPr>
          </w:p>
        </w:tc>
        <w:tc>
          <w:tcPr>
            <w:tcW w:w="4800" w:type="dxa"/>
          </w:tcPr>
          <w:p>
            <w:pPr>
              <w:pStyle w:val="TableParagraph"/>
              <w:rPr>
                <w:sz w:val="22"/>
              </w:rPr>
            </w:pPr>
          </w:p>
        </w:tc>
      </w:tr>
      <w:tr>
        <w:trPr>
          <w:trHeight w:val="450" w:hRule="atLeast"/>
        </w:trPr>
        <w:tc>
          <w:tcPr>
            <w:tcW w:w="3370" w:type="dxa"/>
          </w:tcPr>
          <w:p>
            <w:pPr>
              <w:pStyle w:val="TableParagraph"/>
              <w:rPr>
                <w:sz w:val="22"/>
              </w:rPr>
            </w:pPr>
          </w:p>
        </w:tc>
        <w:tc>
          <w:tcPr>
            <w:tcW w:w="1133" w:type="dxa"/>
          </w:tcPr>
          <w:p>
            <w:pPr>
              <w:pStyle w:val="TableParagraph"/>
              <w:rPr>
                <w:sz w:val="22"/>
              </w:rPr>
            </w:pPr>
          </w:p>
        </w:tc>
        <w:tc>
          <w:tcPr>
            <w:tcW w:w="4800" w:type="dxa"/>
          </w:tcPr>
          <w:p>
            <w:pPr>
              <w:pStyle w:val="TableParagraph"/>
              <w:rPr>
                <w:sz w:val="22"/>
              </w:rPr>
            </w:pPr>
          </w:p>
        </w:tc>
      </w:tr>
      <w:tr>
        <w:trPr>
          <w:trHeight w:val="436" w:hRule="atLeast"/>
        </w:trPr>
        <w:tc>
          <w:tcPr>
            <w:tcW w:w="3370" w:type="dxa"/>
          </w:tcPr>
          <w:p>
            <w:pPr>
              <w:pStyle w:val="TableParagraph"/>
              <w:rPr>
                <w:sz w:val="22"/>
              </w:rPr>
            </w:pPr>
          </w:p>
        </w:tc>
        <w:tc>
          <w:tcPr>
            <w:tcW w:w="1133" w:type="dxa"/>
          </w:tcPr>
          <w:p>
            <w:pPr>
              <w:pStyle w:val="TableParagraph"/>
              <w:rPr>
                <w:sz w:val="22"/>
              </w:rPr>
            </w:pPr>
          </w:p>
        </w:tc>
        <w:tc>
          <w:tcPr>
            <w:tcW w:w="4800" w:type="dxa"/>
          </w:tcPr>
          <w:p>
            <w:pPr>
              <w:pStyle w:val="TableParagraph"/>
              <w:rPr>
                <w:sz w:val="22"/>
              </w:rPr>
            </w:pPr>
          </w:p>
        </w:tc>
      </w:tr>
      <w:tr>
        <w:trPr>
          <w:trHeight w:val="453" w:hRule="atLeast"/>
        </w:trPr>
        <w:tc>
          <w:tcPr>
            <w:tcW w:w="3370" w:type="dxa"/>
          </w:tcPr>
          <w:p>
            <w:pPr>
              <w:pStyle w:val="TableParagraph"/>
              <w:rPr>
                <w:sz w:val="22"/>
              </w:rPr>
            </w:pPr>
          </w:p>
        </w:tc>
        <w:tc>
          <w:tcPr>
            <w:tcW w:w="1133" w:type="dxa"/>
          </w:tcPr>
          <w:p>
            <w:pPr>
              <w:pStyle w:val="TableParagraph"/>
              <w:rPr>
                <w:sz w:val="22"/>
              </w:rPr>
            </w:pPr>
          </w:p>
        </w:tc>
        <w:tc>
          <w:tcPr>
            <w:tcW w:w="4800" w:type="dxa"/>
          </w:tcPr>
          <w:p>
            <w:pPr>
              <w:pStyle w:val="TableParagraph"/>
              <w:rPr>
                <w:sz w:val="22"/>
              </w:rPr>
            </w:pPr>
          </w:p>
        </w:tc>
      </w:tr>
      <w:tr>
        <w:trPr>
          <w:trHeight w:val="436" w:hRule="atLeast"/>
        </w:trPr>
        <w:tc>
          <w:tcPr>
            <w:tcW w:w="3370" w:type="dxa"/>
          </w:tcPr>
          <w:p>
            <w:pPr>
              <w:pStyle w:val="TableParagraph"/>
              <w:rPr>
                <w:sz w:val="22"/>
              </w:rPr>
            </w:pPr>
          </w:p>
        </w:tc>
        <w:tc>
          <w:tcPr>
            <w:tcW w:w="1133" w:type="dxa"/>
          </w:tcPr>
          <w:p>
            <w:pPr>
              <w:pStyle w:val="TableParagraph"/>
              <w:rPr>
                <w:sz w:val="22"/>
              </w:rPr>
            </w:pPr>
          </w:p>
        </w:tc>
        <w:tc>
          <w:tcPr>
            <w:tcW w:w="4800" w:type="dxa"/>
          </w:tcPr>
          <w:p>
            <w:pPr>
              <w:pStyle w:val="TableParagraph"/>
              <w:rPr>
                <w:sz w:val="22"/>
              </w:rPr>
            </w:pPr>
          </w:p>
        </w:tc>
      </w:tr>
      <w:tr>
        <w:trPr>
          <w:trHeight w:val="450" w:hRule="atLeast"/>
        </w:trPr>
        <w:tc>
          <w:tcPr>
            <w:tcW w:w="3370" w:type="dxa"/>
          </w:tcPr>
          <w:p>
            <w:pPr>
              <w:pStyle w:val="TableParagraph"/>
              <w:rPr>
                <w:sz w:val="22"/>
              </w:rPr>
            </w:pPr>
          </w:p>
        </w:tc>
        <w:tc>
          <w:tcPr>
            <w:tcW w:w="1133" w:type="dxa"/>
          </w:tcPr>
          <w:p>
            <w:pPr>
              <w:pStyle w:val="TableParagraph"/>
              <w:rPr>
                <w:sz w:val="22"/>
              </w:rPr>
            </w:pPr>
          </w:p>
        </w:tc>
        <w:tc>
          <w:tcPr>
            <w:tcW w:w="4800" w:type="dxa"/>
          </w:tcPr>
          <w:p>
            <w:pPr>
              <w:pStyle w:val="TableParagraph"/>
              <w:rPr>
                <w:sz w:val="22"/>
              </w:rPr>
            </w:pPr>
          </w:p>
        </w:tc>
      </w:tr>
    </w:tbl>
    <w:p>
      <w:pPr>
        <w:pStyle w:val="BodyText"/>
        <w:spacing w:before="2"/>
      </w:pPr>
    </w:p>
    <w:p>
      <w:pPr>
        <w:pStyle w:val="BodyText"/>
        <w:tabs>
          <w:tab w:pos="4432" w:val="left" w:leader="none"/>
        </w:tabs>
        <w:spacing w:line="252" w:lineRule="exact"/>
        <w:ind w:left="112"/>
      </w:pPr>
      <w:r>
        <w:rPr>
          <w:w w:val="120"/>
        </w:rPr>
        <w:t>All</w:t>
      </w:r>
      <w:r>
        <w:rPr>
          <w:spacing w:val="-9"/>
          <w:w w:val="120"/>
        </w:rPr>
        <w:t> </w:t>
      </w:r>
      <w:r>
        <w:rPr>
          <w:w w:val="120"/>
        </w:rPr>
        <w:t>markers</w:t>
      </w:r>
      <w:r>
        <w:rPr>
          <w:spacing w:val="-14"/>
          <w:w w:val="120"/>
        </w:rPr>
        <w:t> </w:t>
      </w:r>
      <w:r>
        <w:rPr>
          <w:w w:val="120"/>
        </w:rPr>
        <w:t>must</w:t>
      </w:r>
      <w:r>
        <w:rPr>
          <w:spacing w:val="-11"/>
          <w:w w:val="120"/>
        </w:rPr>
        <w:t> </w:t>
      </w:r>
      <w:r>
        <w:rPr>
          <w:w w:val="120"/>
        </w:rPr>
        <w:t>return</w:t>
      </w:r>
      <w:r>
        <w:rPr>
          <w:spacing w:val="-12"/>
          <w:w w:val="120"/>
        </w:rPr>
        <w:t> </w:t>
      </w:r>
      <w:r>
        <w:rPr>
          <w:w w:val="120"/>
        </w:rPr>
        <w:t>this</w:t>
      </w:r>
      <w:r>
        <w:rPr>
          <w:spacing w:val="-13"/>
          <w:w w:val="120"/>
        </w:rPr>
        <w:t> </w:t>
      </w:r>
      <w:r>
        <w:rPr>
          <w:w w:val="120"/>
        </w:rPr>
        <w:t>form</w:t>
      </w:r>
      <w:r>
        <w:rPr>
          <w:spacing w:val="-13"/>
          <w:w w:val="120"/>
        </w:rPr>
        <w:t> </w:t>
      </w:r>
      <w:r>
        <w:rPr>
          <w:w w:val="120"/>
        </w:rPr>
        <w:t>to:</w:t>
        <w:tab/>
        <w:t>Sue Henry</w:t>
      </w:r>
      <w:r>
        <w:rPr>
          <w:spacing w:val="-21"/>
          <w:w w:val="120"/>
        </w:rPr>
        <w:t> </w:t>
      </w:r>
      <w:r>
        <w:rPr>
          <w:w w:val="120"/>
        </w:rPr>
        <w:t>(susan.henry@nzqa.govt.nz)</w:t>
      </w:r>
    </w:p>
    <w:p>
      <w:pPr>
        <w:pStyle w:val="BodyText"/>
        <w:ind w:left="4432" w:right="1679"/>
      </w:pPr>
      <w:r>
        <w:rPr>
          <w:w w:val="115"/>
        </w:rPr>
        <w:t>National Assessment Facilitator (DVC) NZQA</w:t>
      </w:r>
    </w:p>
    <w:p>
      <w:pPr>
        <w:pStyle w:val="BodyText"/>
        <w:spacing w:line="252" w:lineRule="exact"/>
        <w:ind w:left="4009" w:right="3983"/>
        <w:jc w:val="center"/>
      </w:pPr>
      <w:r>
        <w:rPr>
          <w:w w:val="110"/>
        </w:rPr>
        <w:t>PO BOX 160</w:t>
      </w:r>
    </w:p>
    <w:p>
      <w:pPr>
        <w:pStyle w:val="BodyText"/>
        <w:spacing w:line="252" w:lineRule="exact"/>
        <w:ind w:left="4399" w:right="3983"/>
        <w:jc w:val="center"/>
      </w:pPr>
      <w:r>
        <w:rPr>
          <w:w w:val="115"/>
        </w:rPr>
        <w:t>Wellington 6140</w:t>
      </w:r>
    </w:p>
    <w:p>
      <w:pPr>
        <w:spacing w:after="0" w:line="252" w:lineRule="exact"/>
        <w:jc w:val="center"/>
        <w:sectPr>
          <w:pgSz w:w="11910" w:h="16840"/>
          <w:pgMar w:header="0" w:footer="642" w:top="1040" w:bottom="920" w:left="1020" w:right="760"/>
        </w:sectPr>
      </w:pPr>
    </w:p>
    <w:p>
      <w:pPr>
        <w:pStyle w:val="Heading2"/>
      </w:pPr>
      <w:r>
        <w:rPr>
          <w:color w:val="548CD4"/>
          <w:w w:val="115"/>
        </w:rPr>
        <w:t>Appendix H: Instructions for Reallocating Portfolios Electronically</w:t>
      </w:r>
    </w:p>
    <w:p>
      <w:pPr>
        <w:pStyle w:val="BodyText"/>
        <w:spacing w:line="252" w:lineRule="exact" w:before="255"/>
        <w:ind w:left="112"/>
      </w:pPr>
      <w:r>
        <w:rPr>
          <w:w w:val="115"/>
        </w:rPr>
        <w:t>Overview:</w:t>
      </w:r>
    </w:p>
    <w:p>
      <w:pPr>
        <w:pStyle w:val="BodyText"/>
        <w:ind w:left="112" w:right="532"/>
        <w:jc w:val="both"/>
      </w:pPr>
      <w:r>
        <w:rPr>
          <w:w w:val="110"/>
        </w:rPr>
        <w:t>The</w:t>
      </w:r>
      <w:r>
        <w:rPr>
          <w:spacing w:val="-9"/>
          <w:w w:val="110"/>
        </w:rPr>
        <w:t> </w:t>
      </w:r>
      <w:r>
        <w:rPr>
          <w:w w:val="110"/>
        </w:rPr>
        <w:t>following</w:t>
      </w:r>
      <w:r>
        <w:rPr>
          <w:spacing w:val="-3"/>
          <w:w w:val="110"/>
        </w:rPr>
        <w:t> </w:t>
      </w:r>
      <w:r>
        <w:rPr>
          <w:w w:val="110"/>
        </w:rPr>
        <w:t>is</w:t>
      </w:r>
      <w:r>
        <w:rPr>
          <w:spacing w:val="-6"/>
          <w:w w:val="110"/>
        </w:rPr>
        <w:t> </w:t>
      </w:r>
      <w:r>
        <w:rPr>
          <w:w w:val="110"/>
        </w:rPr>
        <w:t>the</w:t>
      </w:r>
      <w:r>
        <w:rPr>
          <w:spacing w:val="-7"/>
          <w:w w:val="110"/>
        </w:rPr>
        <w:t> </w:t>
      </w:r>
      <w:r>
        <w:rPr>
          <w:w w:val="110"/>
        </w:rPr>
        <w:t>procedure</w:t>
      </w:r>
      <w:r>
        <w:rPr>
          <w:spacing w:val="-9"/>
          <w:w w:val="110"/>
        </w:rPr>
        <w:t> </w:t>
      </w:r>
      <w:r>
        <w:rPr>
          <w:w w:val="110"/>
        </w:rPr>
        <w:t>to</w:t>
      </w:r>
      <w:r>
        <w:rPr>
          <w:spacing w:val="-9"/>
          <w:w w:val="110"/>
        </w:rPr>
        <w:t> </w:t>
      </w:r>
      <w:r>
        <w:rPr>
          <w:w w:val="105"/>
        </w:rPr>
        <w:t>follow</w:t>
      </w:r>
      <w:r>
        <w:rPr>
          <w:spacing w:val="-3"/>
          <w:w w:val="105"/>
        </w:rPr>
        <w:t> </w:t>
      </w:r>
      <w:r>
        <w:rPr>
          <w:w w:val="110"/>
        </w:rPr>
        <w:t>when</w:t>
      </w:r>
      <w:r>
        <w:rPr>
          <w:spacing w:val="-5"/>
          <w:w w:val="110"/>
        </w:rPr>
        <w:t> </w:t>
      </w:r>
      <w:r>
        <w:rPr>
          <w:w w:val="110"/>
        </w:rPr>
        <w:t>transferring</w:t>
      </w:r>
      <w:r>
        <w:rPr>
          <w:spacing w:val="-7"/>
          <w:w w:val="110"/>
        </w:rPr>
        <w:t> </w:t>
      </w:r>
      <w:r>
        <w:rPr>
          <w:w w:val="110"/>
        </w:rPr>
        <w:t>portfolios</w:t>
      </w:r>
      <w:r>
        <w:rPr>
          <w:spacing w:val="-6"/>
          <w:w w:val="110"/>
        </w:rPr>
        <w:t> </w:t>
      </w:r>
      <w:r>
        <w:rPr>
          <w:w w:val="110"/>
        </w:rPr>
        <w:t>between</w:t>
      </w:r>
      <w:r>
        <w:rPr>
          <w:spacing w:val="-5"/>
          <w:w w:val="110"/>
        </w:rPr>
        <w:t> </w:t>
      </w:r>
      <w:r>
        <w:rPr>
          <w:w w:val="110"/>
        </w:rPr>
        <w:t>markers</w:t>
      </w:r>
      <w:r>
        <w:rPr>
          <w:spacing w:val="-6"/>
          <w:w w:val="110"/>
        </w:rPr>
        <w:t> </w:t>
      </w:r>
      <w:r>
        <w:rPr>
          <w:w w:val="110"/>
        </w:rPr>
        <w:t>on</w:t>
      </w:r>
      <w:r>
        <w:rPr>
          <w:spacing w:val="-7"/>
          <w:w w:val="110"/>
        </w:rPr>
        <w:t> </w:t>
      </w:r>
      <w:r>
        <w:rPr>
          <w:w w:val="110"/>
        </w:rPr>
        <w:t>a</w:t>
      </w:r>
      <w:r>
        <w:rPr>
          <w:spacing w:val="-7"/>
          <w:w w:val="110"/>
        </w:rPr>
        <w:t> </w:t>
      </w:r>
      <w:r>
        <w:rPr>
          <w:w w:val="110"/>
        </w:rPr>
        <w:t>panel. This</w:t>
      </w:r>
      <w:r>
        <w:rPr>
          <w:spacing w:val="-8"/>
          <w:w w:val="110"/>
        </w:rPr>
        <w:t> </w:t>
      </w:r>
      <w:r>
        <w:rPr>
          <w:w w:val="110"/>
        </w:rPr>
        <w:t>procedure</w:t>
      </w:r>
      <w:r>
        <w:rPr>
          <w:spacing w:val="-7"/>
          <w:w w:val="110"/>
        </w:rPr>
        <w:t> </w:t>
      </w:r>
      <w:r>
        <w:rPr>
          <w:w w:val="110"/>
        </w:rPr>
        <w:t>will</w:t>
      </w:r>
      <w:r>
        <w:rPr>
          <w:spacing w:val="-10"/>
          <w:w w:val="110"/>
        </w:rPr>
        <w:t> </w:t>
      </w:r>
      <w:r>
        <w:rPr>
          <w:w w:val="110"/>
        </w:rPr>
        <w:t>only</w:t>
      </w:r>
      <w:r>
        <w:rPr>
          <w:spacing w:val="-9"/>
          <w:w w:val="110"/>
        </w:rPr>
        <w:t> </w:t>
      </w:r>
      <w:r>
        <w:rPr>
          <w:w w:val="110"/>
        </w:rPr>
        <w:t>be</w:t>
      </w:r>
      <w:r>
        <w:rPr>
          <w:spacing w:val="-8"/>
          <w:w w:val="110"/>
        </w:rPr>
        <w:t> </w:t>
      </w:r>
      <w:r>
        <w:rPr>
          <w:w w:val="110"/>
        </w:rPr>
        <w:t>required</w:t>
      </w:r>
      <w:r>
        <w:rPr>
          <w:spacing w:val="-8"/>
          <w:w w:val="110"/>
        </w:rPr>
        <w:t> </w:t>
      </w:r>
      <w:r>
        <w:rPr>
          <w:spacing w:val="-3"/>
          <w:w w:val="110"/>
        </w:rPr>
        <w:t>if </w:t>
      </w:r>
      <w:r>
        <w:rPr>
          <w:w w:val="110"/>
        </w:rPr>
        <w:t>you</w:t>
      </w:r>
      <w:r>
        <w:rPr>
          <w:spacing w:val="-9"/>
          <w:w w:val="110"/>
        </w:rPr>
        <w:t> </w:t>
      </w:r>
      <w:r>
        <w:rPr>
          <w:w w:val="110"/>
        </w:rPr>
        <w:t>receive</w:t>
      </w:r>
      <w:r>
        <w:rPr>
          <w:spacing w:val="-7"/>
          <w:w w:val="110"/>
        </w:rPr>
        <w:t> </w:t>
      </w:r>
      <w:r>
        <w:rPr>
          <w:w w:val="110"/>
        </w:rPr>
        <w:t>a</w:t>
      </w:r>
      <w:r>
        <w:rPr>
          <w:spacing w:val="-8"/>
          <w:w w:val="110"/>
        </w:rPr>
        <w:t> </w:t>
      </w:r>
      <w:r>
        <w:rPr>
          <w:w w:val="110"/>
        </w:rPr>
        <w:t>portfolio</w:t>
      </w:r>
      <w:r>
        <w:rPr>
          <w:spacing w:val="-9"/>
          <w:w w:val="110"/>
        </w:rPr>
        <w:t> </w:t>
      </w:r>
      <w:r>
        <w:rPr>
          <w:w w:val="110"/>
        </w:rPr>
        <w:t>which</w:t>
      </w:r>
      <w:r>
        <w:rPr>
          <w:spacing w:val="-6"/>
          <w:w w:val="110"/>
        </w:rPr>
        <w:t> </w:t>
      </w:r>
      <w:r>
        <w:rPr>
          <w:w w:val="110"/>
        </w:rPr>
        <w:t>has</w:t>
      </w:r>
      <w:r>
        <w:rPr>
          <w:spacing w:val="-8"/>
          <w:w w:val="110"/>
        </w:rPr>
        <w:t> </w:t>
      </w:r>
      <w:r>
        <w:rPr>
          <w:w w:val="110"/>
        </w:rPr>
        <w:t>not</w:t>
      </w:r>
      <w:r>
        <w:rPr>
          <w:spacing w:val="-5"/>
          <w:w w:val="110"/>
        </w:rPr>
        <w:t> </w:t>
      </w:r>
      <w:r>
        <w:rPr>
          <w:w w:val="110"/>
        </w:rPr>
        <w:t>been</w:t>
      </w:r>
      <w:r>
        <w:rPr>
          <w:spacing w:val="-8"/>
          <w:w w:val="110"/>
        </w:rPr>
        <w:t> </w:t>
      </w:r>
      <w:r>
        <w:rPr>
          <w:w w:val="110"/>
        </w:rPr>
        <w:t>allocated</w:t>
      </w:r>
      <w:r>
        <w:rPr>
          <w:spacing w:val="-9"/>
          <w:w w:val="110"/>
        </w:rPr>
        <w:t> </w:t>
      </w:r>
      <w:r>
        <w:rPr>
          <w:w w:val="110"/>
        </w:rPr>
        <w:t>to</w:t>
      </w:r>
      <w:r>
        <w:rPr>
          <w:spacing w:val="-9"/>
          <w:w w:val="110"/>
        </w:rPr>
        <w:t> </w:t>
      </w:r>
      <w:r>
        <w:rPr>
          <w:w w:val="110"/>
        </w:rPr>
        <w:t>you. This might happen because a portfolio has been put into the wrong bag when being</w:t>
      </w:r>
      <w:r>
        <w:rPr>
          <w:spacing w:val="49"/>
          <w:w w:val="110"/>
        </w:rPr>
        <w:t> </w:t>
      </w:r>
      <w:r>
        <w:rPr>
          <w:w w:val="110"/>
        </w:rPr>
        <w:t>packed.</w:t>
      </w:r>
    </w:p>
    <w:p>
      <w:pPr>
        <w:pStyle w:val="BodyText"/>
        <w:spacing w:before="11"/>
        <w:rPr>
          <w:sz w:val="21"/>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1"/>
        <w:gridCol w:w="2227"/>
        <w:gridCol w:w="7236"/>
      </w:tblGrid>
      <w:tr>
        <w:trPr>
          <w:trHeight w:val="4670" w:hRule="atLeast"/>
        </w:trPr>
        <w:tc>
          <w:tcPr>
            <w:tcW w:w="391"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9"/>
              </w:rPr>
            </w:pPr>
          </w:p>
          <w:p>
            <w:pPr>
              <w:pStyle w:val="TableParagraph"/>
              <w:ind w:right="104"/>
              <w:jc w:val="right"/>
              <w:rPr>
                <w:sz w:val="20"/>
              </w:rPr>
            </w:pPr>
            <w:r>
              <w:rPr>
                <w:w w:val="110"/>
                <w:sz w:val="20"/>
              </w:rPr>
              <w:t>1.</w:t>
            </w:r>
          </w:p>
        </w:tc>
        <w:tc>
          <w:tcPr>
            <w:tcW w:w="2227"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9"/>
              </w:rPr>
            </w:pPr>
          </w:p>
          <w:p>
            <w:pPr>
              <w:pStyle w:val="TableParagraph"/>
              <w:ind w:left="110" w:right="198"/>
              <w:rPr>
                <w:sz w:val="20"/>
              </w:rPr>
            </w:pPr>
            <w:r>
              <w:rPr>
                <w:w w:val="110"/>
                <w:sz w:val="20"/>
              </w:rPr>
              <w:t>Log into the Marking Home page.</w:t>
            </w:r>
          </w:p>
        </w:tc>
        <w:tc>
          <w:tcPr>
            <w:tcW w:w="7236" w:type="dxa"/>
          </w:tcPr>
          <w:p>
            <w:pPr>
              <w:pStyle w:val="TableParagraph"/>
              <w:spacing w:before="7"/>
              <w:rPr>
                <w:sz w:val="2"/>
              </w:rPr>
            </w:pPr>
          </w:p>
          <w:p>
            <w:pPr>
              <w:pStyle w:val="TableParagraph"/>
              <w:ind w:left="100"/>
              <w:rPr>
                <w:sz w:val="20"/>
              </w:rPr>
            </w:pPr>
            <w:r>
              <w:rPr>
                <w:sz w:val="20"/>
              </w:rPr>
              <w:pict>
                <v:group style="width:350.9pt;height:229.35pt;mso-position-horizontal-relative:char;mso-position-vertical-relative:line" coordorigin="0,0" coordsize="7018,4587">
                  <v:shape style="position:absolute;left:0;top:0;width:7018;height:4587" type="#_x0000_t75" stroked="false">
                    <v:imagedata r:id="rId39" o:title=""/>
                  </v:shape>
                  <v:shape style="position:absolute;left:1610;top:2282;width:776;height:224" coordorigin="1610,2282" coordsize="776,224" path="m2386,2506l1610,2506,1610,2282,2386,2282,2386,2292,1630,2292,1620,2304,1630,2304,1630,2486,1620,2486,1630,2496,2386,2496,2386,2506xm1630,2304l1620,2304,1630,2292,1630,2304xm2366,2304l1630,2304,1630,2292,2366,2292,2366,2304xm2366,2496l2366,2292,2376,2304,2386,2304,2386,2486,2376,2486,2366,2496xm2386,2304l2376,2304,2366,2292,2386,2292,2386,2304xm1630,2496l1620,2486,1630,2486,1630,2496xm2366,2496l1630,2496,1630,2486,2366,2486,2366,2496xm2386,2496l2366,2496,2376,2486,2386,2486,2386,2496xe" filled="true" fillcolor="#ff0000" stroked="false">
                    <v:path arrowok="t"/>
                    <v:fill type="solid"/>
                  </v:shape>
                </v:group>
              </w:pict>
            </w:r>
            <w:r>
              <w:rPr>
                <w:sz w:val="20"/>
              </w:rPr>
            </w:r>
          </w:p>
        </w:tc>
      </w:tr>
      <w:tr>
        <w:trPr>
          <w:trHeight w:val="5514" w:hRule="atLeast"/>
        </w:trPr>
        <w:tc>
          <w:tcPr>
            <w:tcW w:w="391"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6"/>
              <w:rPr>
                <w:sz w:val="31"/>
              </w:rPr>
            </w:pPr>
          </w:p>
          <w:p>
            <w:pPr>
              <w:pStyle w:val="TableParagraph"/>
              <w:spacing w:before="1"/>
              <w:ind w:right="104"/>
              <w:jc w:val="right"/>
              <w:rPr>
                <w:sz w:val="20"/>
              </w:rPr>
            </w:pPr>
            <w:r>
              <w:rPr>
                <w:w w:val="110"/>
                <w:sz w:val="20"/>
              </w:rPr>
              <w:t>2.</w:t>
            </w:r>
          </w:p>
        </w:tc>
        <w:tc>
          <w:tcPr>
            <w:tcW w:w="2227" w:type="dxa"/>
          </w:tcPr>
          <w:p>
            <w:pPr>
              <w:pStyle w:val="TableParagraph"/>
              <w:spacing w:line="288" w:lineRule="auto" w:before="115"/>
              <w:ind w:left="110" w:right="117"/>
              <w:rPr>
                <w:sz w:val="20"/>
              </w:rPr>
            </w:pPr>
            <w:r>
              <w:rPr>
                <w:w w:val="110"/>
                <w:sz w:val="20"/>
              </w:rPr>
              <w:t>Navigate to the ‘Results Page’ for the specific marker code.</w:t>
            </w:r>
          </w:p>
          <w:p>
            <w:pPr>
              <w:pStyle w:val="TableParagraph"/>
              <w:spacing w:line="288" w:lineRule="auto" w:before="120"/>
              <w:ind w:left="110" w:right="198"/>
              <w:rPr>
                <w:sz w:val="20"/>
              </w:rPr>
            </w:pPr>
            <w:r>
              <w:rPr>
                <w:w w:val="105"/>
                <w:sz w:val="20"/>
              </w:rPr>
              <w:t>Click on the ‘Search for Candidate’ function.</w:t>
            </w:r>
          </w:p>
          <w:p>
            <w:pPr>
              <w:pStyle w:val="TableParagraph"/>
              <w:spacing w:line="285" w:lineRule="auto" w:before="120"/>
              <w:ind w:left="110" w:right="198"/>
              <w:rPr>
                <w:sz w:val="20"/>
              </w:rPr>
            </w:pPr>
            <w:r>
              <w:rPr/>
              <w:drawing>
                <wp:inline distT="0" distB="0" distL="0" distR="0">
                  <wp:extent cx="190500" cy="190500"/>
                  <wp:effectExtent l="0" t="0" r="0" b="0"/>
                  <wp:docPr id="11" name="image25.jpeg" descr=""/>
                  <wp:cNvGraphicFramePr>
                    <a:graphicFrameLocks noChangeAspect="1"/>
                  </wp:cNvGraphicFramePr>
                  <a:graphic>
                    <a:graphicData uri="http://schemas.openxmlformats.org/drawingml/2006/picture">
                      <pic:pic>
                        <pic:nvPicPr>
                          <pic:cNvPr id="12" name="image25.jpeg"/>
                          <pic:cNvPicPr/>
                        </pic:nvPicPr>
                        <pic:blipFill>
                          <a:blip r:embed="rId40" cstate="print"/>
                          <a:stretch>
                            <a:fillRect/>
                          </a:stretch>
                        </pic:blipFill>
                        <pic:spPr>
                          <a:xfrm>
                            <a:off x="0" y="0"/>
                            <a:ext cx="190500" cy="190500"/>
                          </a:xfrm>
                          <a:prstGeom prst="rect">
                            <a:avLst/>
                          </a:prstGeom>
                        </pic:spPr>
                      </pic:pic>
                    </a:graphicData>
                  </a:graphic>
                </wp:inline>
              </w:drawing>
            </w:r>
            <w:r>
              <w:rPr/>
            </w:r>
            <w:r>
              <w:rPr>
                <w:spacing w:val="5"/>
                <w:sz w:val="20"/>
              </w:rPr>
              <w:t> </w:t>
            </w:r>
            <w:r>
              <w:rPr>
                <w:w w:val="105"/>
                <w:sz w:val="20"/>
              </w:rPr>
              <w:t>Note– A  search for a candidate who </w:t>
            </w:r>
            <w:r>
              <w:rPr>
                <w:spacing w:val="-10"/>
                <w:w w:val="105"/>
                <w:sz w:val="20"/>
              </w:rPr>
              <w:t>is </w:t>
            </w:r>
            <w:r>
              <w:rPr>
                <w:w w:val="105"/>
                <w:sz w:val="20"/>
              </w:rPr>
              <w:t>currently allocated to you will show in the search  results  an ‘Edit’ button. If you select this then an initial result can be entered though the presented result entry screen.</w:t>
            </w:r>
          </w:p>
        </w:tc>
        <w:tc>
          <w:tcPr>
            <w:tcW w:w="7236" w:type="dxa"/>
          </w:tcPr>
          <w:p>
            <w:pPr>
              <w:pStyle w:val="TableParagraph"/>
              <w:rPr>
                <w:sz w:val="20"/>
              </w:rPr>
            </w:pPr>
          </w:p>
          <w:p>
            <w:pPr>
              <w:pStyle w:val="TableParagraph"/>
              <w:spacing w:before="7" w:after="1"/>
              <w:rPr>
                <w:sz w:val="26"/>
              </w:rPr>
            </w:pPr>
          </w:p>
          <w:p>
            <w:pPr>
              <w:pStyle w:val="TableParagraph"/>
              <w:ind w:left="100" w:right="-58"/>
              <w:rPr>
                <w:sz w:val="20"/>
              </w:rPr>
            </w:pPr>
            <w:r>
              <w:rPr>
                <w:sz w:val="20"/>
              </w:rPr>
              <w:pict>
                <v:group style="width:354.6pt;height:220.8pt;mso-position-horizontal-relative:char;mso-position-vertical-relative:line" coordorigin="0,0" coordsize="7092,4416">
                  <v:shape style="position:absolute;left:0;top:0;width:7092;height:4416" type="#_x0000_t75" stroked="false">
                    <v:imagedata r:id="rId41" o:title=""/>
                  </v:shape>
                  <v:shape style="position:absolute;left:1653;top:2145;width:2014;height:204" coordorigin="1654,2146" coordsize="2014,204" path="m3662,2350l1658,2350,1654,2345,1654,2150,1658,2146,3662,2146,3667,2150,3667,2155,1675,2155,1666,2165,1675,2165,1675,2328,1666,2328,1675,2340,3667,2340,3667,2345,3662,2350xm1675,2165l1666,2165,1675,2155,1675,2165xm3648,2165l1675,2165,1675,2155,3648,2155,3648,2165xm3648,2340l3648,2155,3658,2165,3667,2165,3667,2328,3658,2328,3648,2340xm3667,2165l3658,2165,3648,2155,3667,2155,3667,2165xm1675,2340l1666,2328,1675,2328,1675,2340xm3648,2340l1675,2340,1675,2328,3648,2328,3648,2340xm3667,2340l3648,2340,3658,2328,3667,2328,3667,2340xe" filled="true" fillcolor="#ff0000" stroked="false">
                    <v:path arrowok="t"/>
                    <v:fill type="solid"/>
                  </v:shape>
                  <v:shape style="position:absolute;left:1660;top:2505;width:1376;height:224" coordorigin="1661,2506" coordsize="1376,224" path="m3031,2729l1666,2729,1661,2724,1661,2510,1666,2506,3031,2506,3036,2510,3036,2515,1680,2515,1670,2527,1680,2527,1680,2710,1670,2710,1680,2719,3036,2719,3036,2724,3031,2729xm1680,2527l1670,2527,1680,2515,1680,2527xm3017,2527l1680,2527,1680,2515,3017,2515,3017,2527xm3017,2719l3017,2515,3026,2527,3036,2527,3036,2710,3026,2710,3017,2719xm3036,2527l3026,2527,3017,2515,3036,2515,3036,2527xm1680,2719l1670,2710,1680,2710,1680,2719xm3017,2719l1680,2719,1680,2710,3017,2710,3017,2719xm3036,2719l3017,2719,3026,2710,3036,2710,3036,2719xe" filled="true" fillcolor="#ff0000" stroked="false">
                    <v:path arrowok="t"/>
                    <v:fill type="solid"/>
                  </v:shape>
                </v:group>
              </w:pict>
            </w:r>
            <w:r>
              <w:rPr>
                <w:sz w:val="20"/>
              </w:rPr>
            </w:r>
          </w:p>
        </w:tc>
      </w:tr>
    </w:tbl>
    <w:p>
      <w:pPr>
        <w:spacing w:after="0"/>
        <w:rPr>
          <w:sz w:val="20"/>
        </w:rPr>
        <w:sectPr>
          <w:pgSz w:w="11910" w:h="16840"/>
          <w:pgMar w:header="0" w:footer="642" w:top="1040" w:bottom="920" w:left="1020" w:right="760"/>
        </w:sect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1"/>
        <w:gridCol w:w="2227"/>
        <w:gridCol w:w="7236"/>
      </w:tblGrid>
      <w:tr>
        <w:trPr>
          <w:trHeight w:val="3996" w:hRule="atLeast"/>
        </w:trPr>
        <w:tc>
          <w:tcPr>
            <w:tcW w:w="391" w:type="dxa"/>
            <w:tcBorders>
              <w:bottom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7"/>
              <w:rPr>
                <w:sz w:val="26"/>
              </w:rPr>
            </w:pPr>
          </w:p>
          <w:p>
            <w:pPr>
              <w:pStyle w:val="TableParagraph"/>
              <w:spacing w:before="1"/>
              <w:ind w:right="104"/>
              <w:jc w:val="right"/>
              <w:rPr>
                <w:sz w:val="20"/>
              </w:rPr>
            </w:pPr>
            <w:r>
              <w:rPr>
                <w:w w:val="110"/>
                <w:sz w:val="20"/>
              </w:rPr>
              <w:t>3.</w:t>
            </w:r>
          </w:p>
        </w:tc>
        <w:tc>
          <w:tcPr>
            <w:tcW w:w="2227" w:type="dxa"/>
            <w:tcBorders>
              <w:bottom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9"/>
              </w:rPr>
            </w:pPr>
          </w:p>
          <w:p>
            <w:pPr>
              <w:pStyle w:val="TableParagraph"/>
              <w:spacing w:line="288" w:lineRule="auto"/>
              <w:ind w:left="110"/>
              <w:rPr>
                <w:sz w:val="20"/>
              </w:rPr>
            </w:pPr>
            <w:r>
              <w:rPr>
                <w:w w:val="110"/>
                <w:sz w:val="20"/>
              </w:rPr>
              <w:t>Enter the NSN into the search field.</w:t>
            </w:r>
          </w:p>
          <w:p>
            <w:pPr>
              <w:pStyle w:val="TableParagraph"/>
              <w:spacing w:line="288" w:lineRule="auto" w:before="120"/>
              <w:ind w:left="110" w:right="117"/>
              <w:rPr>
                <w:sz w:val="20"/>
              </w:rPr>
            </w:pPr>
            <w:r>
              <w:rPr>
                <w:w w:val="110"/>
                <w:sz w:val="20"/>
              </w:rPr>
              <w:t>The system shows the search results and the details of the associated standards for the learner and who these are currently allocated to.</w:t>
            </w:r>
          </w:p>
        </w:tc>
        <w:tc>
          <w:tcPr>
            <w:tcW w:w="7236" w:type="dxa"/>
            <w:tcBorders>
              <w:bottom w:val="nil"/>
            </w:tcBorders>
          </w:tcPr>
          <w:p>
            <w:pPr>
              <w:pStyle w:val="TableParagraph"/>
              <w:rPr>
                <w:sz w:val="18"/>
              </w:rPr>
            </w:pPr>
          </w:p>
        </w:tc>
      </w:tr>
      <w:tr>
        <w:trPr>
          <w:trHeight w:val="1229" w:hRule="atLeast"/>
        </w:trPr>
        <w:tc>
          <w:tcPr>
            <w:tcW w:w="391" w:type="dxa"/>
            <w:tcBorders>
              <w:top w:val="nil"/>
              <w:bottom w:val="nil"/>
            </w:tcBorders>
          </w:tcPr>
          <w:p>
            <w:pPr>
              <w:pStyle w:val="TableParagraph"/>
              <w:rPr>
                <w:sz w:val="18"/>
              </w:rPr>
            </w:pPr>
          </w:p>
        </w:tc>
        <w:tc>
          <w:tcPr>
            <w:tcW w:w="2227" w:type="dxa"/>
            <w:tcBorders>
              <w:top w:val="nil"/>
              <w:bottom w:val="nil"/>
            </w:tcBorders>
          </w:tcPr>
          <w:p>
            <w:pPr>
              <w:pStyle w:val="TableParagraph"/>
              <w:spacing w:line="288" w:lineRule="auto" w:before="73"/>
              <w:ind w:left="110" w:right="198"/>
              <w:rPr>
                <w:sz w:val="20"/>
              </w:rPr>
            </w:pPr>
            <w:r>
              <w:rPr>
                <w:w w:val="105"/>
                <w:sz w:val="20"/>
              </w:rPr>
              <w:t>Select the ‘Accept' button for each standard where it is displayed to the right.</w:t>
            </w:r>
          </w:p>
        </w:tc>
        <w:tc>
          <w:tcPr>
            <w:tcW w:w="7236" w:type="dxa"/>
            <w:tcBorders>
              <w:top w:val="nil"/>
              <w:bottom w:val="nil"/>
            </w:tcBorders>
          </w:tcPr>
          <w:p>
            <w:pPr>
              <w:pStyle w:val="TableParagraph"/>
              <w:rPr>
                <w:sz w:val="18"/>
              </w:rPr>
            </w:pPr>
          </w:p>
        </w:tc>
      </w:tr>
      <w:tr>
        <w:trPr>
          <w:trHeight w:val="361" w:hRule="atLeast"/>
        </w:trPr>
        <w:tc>
          <w:tcPr>
            <w:tcW w:w="391" w:type="dxa"/>
            <w:tcBorders>
              <w:top w:val="nil"/>
              <w:bottom w:val="nil"/>
            </w:tcBorders>
          </w:tcPr>
          <w:p>
            <w:pPr>
              <w:pStyle w:val="TableParagraph"/>
              <w:rPr>
                <w:sz w:val="18"/>
              </w:rPr>
            </w:pPr>
          </w:p>
        </w:tc>
        <w:tc>
          <w:tcPr>
            <w:tcW w:w="2227" w:type="dxa"/>
            <w:tcBorders>
              <w:top w:val="nil"/>
              <w:bottom w:val="nil"/>
            </w:tcBorders>
          </w:tcPr>
          <w:p>
            <w:pPr>
              <w:pStyle w:val="TableParagraph"/>
              <w:rPr>
                <w:sz w:val="18"/>
              </w:rPr>
            </w:pPr>
          </w:p>
        </w:tc>
        <w:tc>
          <w:tcPr>
            <w:tcW w:w="7236" w:type="dxa"/>
            <w:tcBorders>
              <w:top w:val="nil"/>
              <w:bottom w:val="nil"/>
            </w:tcBorders>
          </w:tcPr>
          <w:p>
            <w:pPr>
              <w:pStyle w:val="TableParagraph"/>
              <w:spacing w:before="81"/>
              <w:ind w:left="235"/>
              <w:rPr>
                <w:sz w:val="16"/>
              </w:rPr>
            </w:pPr>
            <w:r>
              <w:rPr>
                <w:sz w:val="16"/>
              </w:rPr>
              <w:t>Marker Number Two</w:t>
            </w:r>
          </w:p>
        </w:tc>
      </w:tr>
      <w:tr>
        <w:trPr>
          <w:trHeight w:val="1335" w:hRule="atLeast"/>
        </w:trPr>
        <w:tc>
          <w:tcPr>
            <w:tcW w:w="391" w:type="dxa"/>
            <w:tcBorders>
              <w:top w:val="nil"/>
            </w:tcBorders>
          </w:tcPr>
          <w:p>
            <w:pPr>
              <w:pStyle w:val="TableParagraph"/>
              <w:rPr>
                <w:sz w:val="18"/>
              </w:rPr>
            </w:pPr>
          </w:p>
        </w:tc>
        <w:tc>
          <w:tcPr>
            <w:tcW w:w="2227" w:type="dxa"/>
            <w:tcBorders>
              <w:top w:val="nil"/>
            </w:tcBorders>
          </w:tcPr>
          <w:p>
            <w:pPr>
              <w:pStyle w:val="TableParagraph"/>
              <w:rPr>
                <w:sz w:val="18"/>
              </w:rPr>
            </w:pPr>
          </w:p>
        </w:tc>
        <w:tc>
          <w:tcPr>
            <w:tcW w:w="7236" w:type="dxa"/>
            <w:tcBorders>
              <w:top w:val="nil"/>
            </w:tcBorders>
          </w:tcPr>
          <w:p>
            <w:pPr>
              <w:pStyle w:val="TableParagraph"/>
              <w:spacing w:before="79"/>
              <w:ind w:left="235"/>
              <w:rPr>
                <w:sz w:val="16"/>
              </w:rPr>
            </w:pPr>
            <w:r>
              <w:rPr>
                <w:sz w:val="16"/>
              </w:rPr>
              <w:t>Marker Number Two</w:t>
            </w:r>
          </w:p>
        </w:tc>
      </w:tr>
      <w:tr>
        <w:trPr>
          <w:trHeight w:val="4499" w:hRule="atLeast"/>
        </w:trPr>
        <w:tc>
          <w:tcPr>
            <w:tcW w:w="391"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31"/>
              </w:rPr>
            </w:pPr>
          </w:p>
          <w:p>
            <w:pPr>
              <w:pStyle w:val="TableParagraph"/>
              <w:spacing w:before="1"/>
              <w:ind w:right="104"/>
              <w:jc w:val="right"/>
              <w:rPr>
                <w:sz w:val="20"/>
              </w:rPr>
            </w:pPr>
            <w:r>
              <w:rPr>
                <w:w w:val="110"/>
                <w:sz w:val="20"/>
              </w:rPr>
              <w:t>4.</w:t>
            </w:r>
          </w:p>
        </w:tc>
        <w:tc>
          <w:tcPr>
            <w:tcW w:w="2227" w:type="dxa"/>
          </w:tcPr>
          <w:p>
            <w:pPr>
              <w:pStyle w:val="TableParagraph"/>
              <w:spacing w:line="288" w:lineRule="auto" w:before="114"/>
              <w:ind w:left="110" w:right="378"/>
              <w:rPr>
                <w:sz w:val="20"/>
              </w:rPr>
            </w:pPr>
            <w:r>
              <w:rPr>
                <w:w w:val="105"/>
                <w:sz w:val="20"/>
              </w:rPr>
              <w:t>The system will prompt you to consider if you truly want to accept the allocation from another marker to yourself.</w:t>
            </w:r>
          </w:p>
          <w:p>
            <w:pPr>
              <w:pStyle w:val="TableParagraph"/>
              <w:spacing w:line="288" w:lineRule="auto" w:before="121"/>
              <w:ind w:left="110" w:right="117"/>
              <w:rPr>
                <w:sz w:val="20"/>
              </w:rPr>
            </w:pPr>
            <w:r>
              <w:rPr>
                <w:w w:val="110"/>
                <w:sz w:val="20"/>
              </w:rPr>
              <w:t>If you wish to accept the allocation select the ‘Yes, Accept’ button and the screen now redisplays the details of the standard and who it is NOW allocated to.</w:t>
            </w:r>
          </w:p>
        </w:tc>
        <w:tc>
          <w:tcPr>
            <w:tcW w:w="7236" w:type="dxa"/>
          </w:tcPr>
          <w:p>
            <w:pPr>
              <w:pStyle w:val="TableParagraph"/>
              <w:rPr>
                <w:sz w:val="20"/>
              </w:rPr>
            </w:pPr>
          </w:p>
          <w:p>
            <w:pPr>
              <w:pStyle w:val="TableParagraph"/>
              <w:rPr>
                <w:sz w:val="20"/>
              </w:rPr>
            </w:pPr>
          </w:p>
          <w:p>
            <w:pPr>
              <w:pStyle w:val="TableParagraph"/>
              <w:spacing w:before="7"/>
              <w:rPr>
                <w:sz w:val="11"/>
              </w:rPr>
            </w:pPr>
          </w:p>
          <w:p>
            <w:pPr>
              <w:pStyle w:val="TableParagraph"/>
              <w:ind w:left="110"/>
              <w:rPr>
                <w:sz w:val="20"/>
              </w:rPr>
            </w:pPr>
            <w:r>
              <w:rPr>
                <w:sz w:val="20"/>
              </w:rPr>
              <w:drawing>
                <wp:inline distT="0" distB="0" distL="0" distR="0">
                  <wp:extent cx="4452928" cy="2084832"/>
                  <wp:effectExtent l="0" t="0" r="0" b="0"/>
                  <wp:docPr id="13" name="image27.jpeg" descr=""/>
                  <wp:cNvGraphicFramePr>
                    <a:graphicFrameLocks noChangeAspect="1"/>
                  </wp:cNvGraphicFramePr>
                  <a:graphic>
                    <a:graphicData uri="http://schemas.openxmlformats.org/drawingml/2006/picture">
                      <pic:pic>
                        <pic:nvPicPr>
                          <pic:cNvPr id="14" name="image27.jpeg"/>
                          <pic:cNvPicPr/>
                        </pic:nvPicPr>
                        <pic:blipFill>
                          <a:blip r:embed="rId42" cstate="print"/>
                          <a:stretch>
                            <a:fillRect/>
                          </a:stretch>
                        </pic:blipFill>
                        <pic:spPr>
                          <a:xfrm>
                            <a:off x="0" y="0"/>
                            <a:ext cx="4452928" cy="2084832"/>
                          </a:xfrm>
                          <a:prstGeom prst="rect">
                            <a:avLst/>
                          </a:prstGeom>
                        </pic:spPr>
                      </pic:pic>
                    </a:graphicData>
                  </a:graphic>
                </wp:inline>
              </w:drawing>
            </w:r>
            <w:r>
              <w:rPr>
                <w:sz w:val="20"/>
              </w:rPr>
            </w:r>
          </w:p>
        </w:tc>
      </w:tr>
    </w:tbl>
    <w:p>
      <w:pPr>
        <w:rPr>
          <w:sz w:val="2"/>
          <w:szCs w:val="2"/>
        </w:rPr>
      </w:pPr>
      <w:r>
        <w:rPr/>
        <w:pict>
          <v:group style="position:absolute;margin-left:192.360016pt;margin-top:59.280006pt;width:356.2pt;height:342.15pt;mso-position-horizontal-relative:page;mso-position-vertical-relative:page;z-index:-98584" coordorigin="3847,1186" coordsize="7124,6843">
            <v:shape style="position:absolute;left:3866;top:1185;width:7104;height:3401" type="#_x0000_t75" stroked="false">
              <v:imagedata r:id="rId43" o:title=""/>
            </v:shape>
            <v:shape style="position:absolute;left:3866;top:4627;width:7104;height:3401" type="#_x0000_t75" stroked="false">
              <v:imagedata r:id="rId44" o:title=""/>
            </v:shape>
            <v:shape style="position:absolute;left:3847;top:6396;width:1680;height:720" coordorigin="3847,6396" coordsize="1680,720" path="m5527,6396l3847,6396,3847,6756,3847,7116,5527,7116,5527,6756,5527,6396e" filled="true" fillcolor="#ffffff" stroked="false">
              <v:path arrowok="t"/>
              <v:fill type="solid"/>
            </v:shape>
            <v:shape style="position:absolute;left:5517;top:1737;width:5247;height:5460" coordorigin="5518,1738" coordsize="5247,5460" path="m6602,1742l6598,1738,6583,1738,6583,1757,6583,1963,5537,1963,5537,1757,6583,1757,6583,1738,5522,1738,5518,1742,5518,1978,5522,1982,6598,1982,6602,1978,6602,1973,6602,1963,6602,1757,6602,1747,6602,1742m10764,6581l10759,6576,10745,6576,10745,6598,10745,7176,10205,7176,10205,6598,10745,6598,10745,6576,10188,6576,10183,6581,10183,7193,10188,7198,10759,7198,10764,7193,10764,7188,10764,7176,10764,6598,10764,6588,10764,6581e" filled="true" fillcolor="#ff0000" stroked="false">
              <v:path arrowok="t"/>
              <v:fill type="solid"/>
            </v:shape>
            <w10:wrap type="none"/>
          </v:group>
        </w:pict>
      </w:r>
    </w:p>
    <w:p>
      <w:pPr>
        <w:spacing w:after="0"/>
        <w:rPr>
          <w:sz w:val="2"/>
          <w:szCs w:val="2"/>
        </w:rPr>
        <w:sectPr>
          <w:pgSz w:w="11910" w:h="16840"/>
          <w:pgMar w:header="0" w:footer="642" w:top="1120" w:bottom="840" w:left="1020" w:right="760"/>
        </w:sect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1"/>
        <w:gridCol w:w="2227"/>
        <w:gridCol w:w="7236"/>
      </w:tblGrid>
      <w:tr>
        <w:trPr>
          <w:trHeight w:val="3510" w:hRule="atLeast"/>
        </w:trPr>
        <w:tc>
          <w:tcPr>
            <w:tcW w:w="391"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3"/>
              <w:rPr>
                <w:sz w:val="32"/>
              </w:rPr>
            </w:pPr>
          </w:p>
          <w:p>
            <w:pPr>
              <w:pStyle w:val="TableParagraph"/>
              <w:ind w:right="104"/>
              <w:jc w:val="right"/>
              <w:rPr>
                <w:sz w:val="20"/>
              </w:rPr>
            </w:pPr>
            <w:r>
              <w:rPr>
                <w:w w:val="110"/>
                <w:sz w:val="20"/>
              </w:rPr>
              <w:t>5.</w:t>
            </w:r>
          </w:p>
        </w:tc>
        <w:tc>
          <w:tcPr>
            <w:tcW w:w="2227" w:type="dxa"/>
          </w:tcPr>
          <w:p>
            <w:pPr>
              <w:pStyle w:val="TableParagraph"/>
              <w:rPr>
                <w:sz w:val="22"/>
              </w:rPr>
            </w:pPr>
          </w:p>
          <w:p>
            <w:pPr>
              <w:pStyle w:val="TableParagraph"/>
              <w:spacing w:line="288" w:lineRule="auto" w:before="195"/>
              <w:ind w:left="110" w:right="193"/>
              <w:jc w:val="both"/>
              <w:rPr>
                <w:sz w:val="20"/>
              </w:rPr>
            </w:pPr>
            <w:r>
              <w:rPr>
                <w:w w:val="115"/>
                <w:sz w:val="20"/>
              </w:rPr>
              <w:t>Repeat steps 3-5 </w:t>
            </w:r>
            <w:r>
              <w:rPr>
                <w:spacing w:val="-5"/>
                <w:w w:val="115"/>
                <w:sz w:val="20"/>
              </w:rPr>
              <w:t>and </w:t>
            </w:r>
            <w:r>
              <w:rPr>
                <w:w w:val="115"/>
                <w:sz w:val="20"/>
              </w:rPr>
              <w:t>accept the</w:t>
            </w:r>
            <w:r>
              <w:rPr>
                <w:spacing w:val="-45"/>
                <w:w w:val="115"/>
                <w:sz w:val="20"/>
              </w:rPr>
              <w:t> </w:t>
            </w:r>
            <w:r>
              <w:rPr>
                <w:w w:val="115"/>
                <w:sz w:val="20"/>
              </w:rPr>
              <w:t>remaining standards</w:t>
            </w:r>
            <w:r>
              <w:rPr>
                <w:spacing w:val="-16"/>
                <w:w w:val="115"/>
                <w:sz w:val="20"/>
              </w:rPr>
              <w:t> </w:t>
            </w:r>
            <w:r>
              <w:rPr>
                <w:w w:val="115"/>
                <w:sz w:val="20"/>
              </w:rPr>
              <w:t>displayed.</w:t>
            </w:r>
          </w:p>
          <w:p>
            <w:pPr>
              <w:pStyle w:val="TableParagraph"/>
              <w:spacing w:line="288" w:lineRule="auto" w:before="120"/>
              <w:ind w:left="110" w:right="117"/>
              <w:rPr>
                <w:sz w:val="20"/>
              </w:rPr>
            </w:pPr>
            <w:r>
              <w:rPr>
                <w:w w:val="110"/>
                <w:sz w:val="20"/>
              </w:rPr>
              <w:t>When all NSNs are accepted, or any time during the process, select the ‘Cancel’ option to return to the mark pages.</w:t>
            </w:r>
          </w:p>
        </w:tc>
        <w:tc>
          <w:tcPr>
            <w:tcW w:w="7236" w:type="dxa"/>
          </w:tcPr>
          <w:p>
            <w:pPr>
              <w:pStyle w:val="TableParagraph"/>
              <w:spacing w:before="4"/>
              <w:rPr>
                <w:sz w:val="2"/>
              </w:rPr>
            </w:pPr>
          </w:p>
          <w:p>
            <w:pPr>
              <w:pStyle w:val="TableParagraph"/>
              <w:ind w:left="100"/>
              <w:rPr>
                <w:sz w:val="20"/>
              </w:rPr>
            </w:pPr>
            <w:r>
              <w:rPr>
                <w:sz w:val="20"/>
              </w:rPr>
              <w:pict>
                <v:group style="width:351.5pt;height:171.5pt;mso-position-horizontal-relative:char;mso-position-vertical-relative:line" coordorigin="0,0" coordsize="7030,3430">
                  <v:shape style="position:absolute;left:0;top:0;width:7030;height:3430" type="#_x0000_t75" stroked="false">
                    <v:imagedata r:id="rId45" o:title=""/>
                  </v:shape>
                  <v:shape style="position:absolute;left:1598;top:2498;width:552;height:260" coordorigin="1598,2498" coordsize="552,260" path="m2146,2758l1603,2758,1598,2755,1598,2503,1603,2498,2146,2498,2150,2503,2150,2508,1618,2508,1608,2518,1618,2518,1618,2738,1608,2738,1618,2748,2150,2748,2150,2755,2146,2758xm1618,2518l1608,2518,1618,2508,1618,2518xm2131,2518l1618,2518,1618,2508,2131,2508,2131,2518xm2131,2748l2131,2508,2141,2518,2150,2518,2150,2738,2141,2738,2131,2748xm2150,2518l2141,2518,2131,2508,2150,2508,2150,2518xm1618,2748l1608,2738,1618,2738,1618,2748xm2131,2748l1618,2748,1618,2738,2131,2738,2131,2748xm2150,2748l2131,2748,2141,2738,2150,2738,2150,2748xe" filled="true" fillcolor="#ff0000" stroked="false">
                    <v:path arrowok="t"/>
                    <v:fill type="solid"/>
                  </v:shape>
                </v:group>
              </w:pict>
            </w:r>
            <w:r>
              <w:rPr>
                <w:sz w:val="20"/>
              </w:rPr>
            </w:r>
          </w:p>
        </w:tc>
      </w:tr>
      <w:tr>
        <w:trPr>
          <w:trHeight w:val="3808" w:hRule="atLeast"/>
        </w:trPr>
        <w:tc>
          <w:tcPr>
            <w:tcW w:w="391"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
              <w:rPr>
                <w:sz w:val="23"/>
              </w:rPr>
            </w:pPr>
          </w:p>
          <w:p>
            <w:pPr>
              <w:pStyle w:val="TableParagraph"/>
              <w:ind w:right="104"/>
              <w:jc w:val="right"/>
              <w:rPr>
                <w:sz w:val="20"/>
              </w:rPr>
            </w:pPr>
            <w:r>
              <w:rPr>
                <w:w w:val="110"/>
                <w:sz w:val="20"/>
              </w:rPr>
              <w:t>6.</w:t>
            </w:r>
          </w:p>
        </w:tc>
        <w:tc>
          <w:tcPr>
            <w:tcW w:w="2227"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88" w:lineRule="auto" w:before="197"/>
              <w:ind w:left="110" w:right="117"/>
              <w:rPr>
                <w:sz w:val="20"/>
              </w:rPr>
            </w:pPr>
            <w:r>
              <w:rPr>
                <w:w w:val="110"/>
                <w:sz w:val="20"/>
              </w:rPr>
              <w:t>Here you will see a new section called Supplementary Pages including the re- allocated standards.</w:t>
            </w:r>
          </w:p>
        </w:tc>
        <w:tc>
          <w:tcPr>
            <w:tcW w:w="7236" w:type="dxa"/>
          </w:tcPr>
          <w:p>
            <w:pPr>
              <w:pStyle w:val="TableParagraph"/>
              <w:spacing w:before="7"/>
              <w:rPr>
                <w:sz w:val="2"/>
              </w:rPr>
            </w:pPr>
          </w:p>
          <w:p>
            <w:pPr>
              <w:pStyle w:val="TableParagraph"/>
              <w:ind w:left="285"/>
              <w:rPr>
                <w:sz w:val="20"/>
              </w:rPr>
            </w:pPr>
            <w:r>
              <w:rPr>
                <w:sz w:val="20"/>
              </w:rPr>
              <w:drawing>
                <wp:inline distT="0" distB="0" distL="0" distR="0">
                  <wp:extent cx="4233671" cy="2374392"/>
                  <wp:effectExtent l="0" t="0" r="0" b="0"/>
                  <wp:docPr id="15" name="image31.jpeg" descr=""/>
                  <wp:cNvGraphicFramePr>
                    <a:graphicFrameLocks noChangeAspect="1"/>
                  </wp:cNvGraphicFramePr>
                  <a:graphic>
                    <a:graphicData uri="http://schemas.openxmlformats.org/drawingml/2006/picture">
                      <pic:pic>
                        <pic:nvPicPr>
                          <pic:cNvPr id="16" name="image31.jpeg"/>
                          <pic:cNvPicPr/>
                        </pic:nvPicPr>
                        <pic:blipFill>
                          <a:blip r:embed="rId46" cstate="print"/>
                          <a:stretch>
                            <a:fillRect/>
                          </a:stretch>
                        </pic:blipFill>
                        <pic:spPr>
                          <a:xfrm>
                            <a:off x="0" y="0"/>
                            <a:ext cx="4233671" cy="2374392"/>
                          </a:xfrm>
                          <a:prstGeom prst="rect">
                            <a:avLst/>
                          </a:prstGeom>
                        </pic:spPr>
                      </pic:pic>
                    </a:graphicData>
                  </a:graphic>
                </wp:inline>
              </w:drawing>
            </w:r>
            <w:r>
              <w:rPr>
                <w:sz w:val="20"/>
              </w:rPr>
            </w:r>
          </w:p>
        </w:tc>
      </w:tr>
      <w:tr>
        <w:trPr>
          <w:trHeight w:val="4552" w:hRule="atLeast"/>
        </w:trPr>
        <w:tc>
          <w:tcPr>
            <w:tcW w:w="391"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31"/>
              <w:ind w:right="104"/>
              <w:jc w:val="right"/>
              <w:rPr>
                <w:sz w:val="20"/>
              </w:rPr>
            </w:pPr>
            <w:r>
              <w:rPr>
                <w:w w:val="110"/>
                <w:sz w:val="20"/>
              </w:rPr>
              <w:t>7.</w:t>
            </w:r>
          </w:p>
        </w:tc>
        <w:tc>
          <w:tcPr>
            <w:tcW w:w="2227" w:type="dxa"/>
          </w:tcPr>
          <w:p>
            <w:pPr>
              <w:pStyle w:val="TableParagraph"/>
              <w:spacing w:before="1"/>
              <w:rPr>
                <w:sz w:val="19"/>
              </w:rPr>
            </w:pPr>
          </w:p>
          <w:p>
            <w:pPr>
              <w:pStyle w:val="TableParagraph"/>
              <w:spacing w:line="288" w:lineRule="auto"/>
              <w:ind w:left="110" w:right="153"/>
              <w:rPr>
                <w:sz w:val="20"/>
              </w:rPr>
            </w:pPr>
            <w:r>
              <w:rPr>
                <w:w w:val="105"/>
                <w:sz w:val="20"/>
              </w:rPr>
              <w:t>At the accept stage there is an option to enter the initial result via the Edit button and you  can  enter  an Initial result if required.</w:t>
            </w:r>
          </w:p>
          <w:p>
            <w:pPr>
              <w:pStyle w:val="TableParagraph"/>
              <w:spacing w:line="285" w:lineRule="auto" w:before="120"/>
              <w:ind w:left="110" w:right="193"/>
              <w:rPr>
                <w:sz w:val="20"/>
              </w:rPr>
            </w:pPr>
            <w:r>
              <w:rPr/>
              <w:drawing>
                <wp:inline distT="0" distB="0" distL="0" distR="0">
                  <wp:extent cx="190500" cy="190500"/>
                  <wp:effectExtent l="0" t="0" r="0" b="0"/>
                  <wp:docPr id="17" name="image25.jpeg" descr=""/>
                  <wp:cNvGraphicFramePr>
                    <a:graphicFrameLocks noChangeAspect="1"/>
                  </wp:cNvGraphicFramePr>
                  <a:graphic>
                    <a:graphicData uri="http://schemas.openxmlformats.org/drawingml/2006/picture">
                      <pic:pic>
                        <pic:nvPicPr>
                          <pic:cNvPr id="18" name="image25.jpeg"/>
                          <pic:cNvPicPr/>
                        </pic:nvPicPr>
                        <pic:blipFill>
                          <a:blip r:embed="rId40" cstate="print"/>
                          <a:stretch>
                            <a:fillRect/>
                          </a:stretch>
                        </pic:blipFill>
                        <pic:spPr>
                          <a:xfrm>
                            <a:off x="0" y="0"/>
                            <a:ext cx="190500" cy="190500"/>
                          </a:xfrm>
                          <a:prstGeom prst="rect">
                            <a:avLst/>
                          </a:prstGeom>
                        </pic:spPr>
                      </pic:pic>
                    </a:graphicData>
                  </a:graphic>
                </wp:inline>
              </w:drawing>
            </w:r>
            <w:r>
              <w:rPr/>
            </w:r>
            <w:r>
              <w:rPr>
                <w:spacing w:val="5"/>
                <w:sz w:val="20"/>
              </w:rPr>
              <w:t> </w:t>
            </w:r>
            <w:r>
              <w:rPr>
                <w:w w:val="105"/>
                <w:sz w:val="20"/>
              </w:rPr>
              <w:t>Note: Performing this action will require you to return to the ‘Candidate Search’ to re-allocate the remaining standards for the</w:t>
            </w:r>
            <w:r>
              <w:rPr>
                <w:spacing w:val="7"/>
                <w:w w:val="105"/>
                <w:sz w:val="20"/>
              </w:rPr>
              <w:t> </w:t>
            </w:r>
            <w:r>
              <w:rPr>
                <w:w w:val="105"/>
                <w:sz w:val="20"/>
              </w:rPr>
              <w:t>NSN.</w:t>
            </w:r>
          </w:p>
        </w:tc>
        <w:tc>
          <w:tcPr>
            <w:tcW w:w="7236" w:type="dxa"/>
          </w:tcPr>
          <w:p>
            <w:pPr>
              <w:pStyle w:val="TableParagraph"/>
              <w:spacing w:before="4"/>
              <w:rPr>
                <w:sz w:val="2"/>
              </w:rPr>
            </w:pPr>
          </w:p>
          <w:p>
            <w:pPr>
              <w:pStyle w:val="TableParagraph"/>
              <w:ind w:left="100"/>
              <w:rPr>
                <w:sz w:val="20"/>
              </w:rPr>
            </w:pPr>
            <w:r>
              <w:rPr>
                <w:sz w:val="20"/>
              </w:rPr>
              <w:pict>
                <v:group style="width:350.9pt;height:223.35pt;mso-position-horizontal-relative:char;mso-position-vertical-relative:line" coordorigin="0,0" coordsize="7018,4467">
                  <v:shape style="position:absolute;left:0;top:0;width:7018;height:4467" type="#_x0000_t75" stroked="false">
                    <v:imagedata r:id="rId47" o:title=""/>
                  </v:shape>
                  <v:shape style="position:absolute;left:6127;top:3885;width:821;height:382" coordorigin="6127,3886" coordsize="821,382" path="m6943,4267l6132,4267,6127,4262,6127,3890,6132,3886,6943,3886,6948,3890,6948,3895,6149,3895,6137,3907,6149,3907,6149,4246,6137,4246,6149,4255,6948,4255,6948,4262,6943,4267xm6149,3907l6137,3907,6149,3895,6149,3907xm6929,3907l6149,3907,6149,3895,6929,3895,6929,3907xm6929,4255l6929,3895,6938,3907,6948,3907,6948,4246,6938,4246,6929,4255xm6948,3907l6938,3907,6929,3895,6948,3895,6948,3907xm6149,4255l6137,4246,6149,4246,6149,4255xm6929,4255l6149,4255,6149,4246,6929,4246,6929,4255xm6948,4255l6929,4255,6938,4246,6948,4246,6948,4255xe" filled="true" fillcolor="#ff0000" stroked="false">
                    <v:path arrowok="t"/>
                    <v:fill type="solid"/>
                  </v:shape>
                </v:group>
              </w:pict>
            </w:r>
            <w:r>
              <w:rPr>
                <w:sz w:val="20"/>
              </w:rPr>
            </w:r>
          </w:p>
        </w:tc>
      </w:tr>
    </w:tbl>
    <w:p>
      <w:pPr>
        <w:spacing w:after="0"/>
        <w:rPr>
          <w:sz w:val="20"/>
        </w:rPr>
        <w:sectPr>
          <w:pgSz w:w="11910" w:h="16840"/>
          <w:pgMar w:header="0" w:footer="642" w:top="1120" w:bottom="840" w:left="1020" w:right="760"/>
        </w:sectPr>
      </w:pPr>
    </w:p>
    <w:p>
      <w:pPr>
        <w:pStyle w:val="Heading1"/>
        <w:ind w:left="112"/>
      </w:pPr>
      <w:r>
        <w:rPr>
          <w:w w:val="120"/>
        </w:rPr>
        <w:t>Marker search and re-allocation warnings</w:t>
      </w:r>
    </w:p>
    <w:p>
      <w:pPr>
        <w:pStyle w:val="ListParagraph"/>
        <w:numPr>
          <w:ilvl w:val="0"/>
          <w:numId w:val="10"/>
        </w:numPr>
        <w:tabs>
          <w:tab w:pos="471" w:val="left" w:leader="none"/>
        </w:tabs>
        <w:spacing w:line="240" w:lineRule="auto" w:before="242" w:after="0"/>
        <w:ind w:left="470" w:right="0" w:hanging="358"/>
        <w:jc w:val="left"/>
        <w:rPr>
          <w:sz w:val="22"/>
        </w:rPr>
      </w:pPr>
      <w:r>
        <w:rPr>
          <w:w w:val="115"/>
          <w:sz w:val="22"/>
        </w:rPr>
        <w:t>No Matching Results</w:t>
      </w:r>
      <w:r>
        <w:rPr>
          <w:spacing w:val="-9"/>
          <w:w w:val="115"/>
          <w:sz w:val="22"/>
        </w:rPr>
        <w:t> </w:t>
      </w:r>
      <w:r>
        <w:rPr>
          <w:w w:val="115"/>
          <w:sz w:val="22"/>
        </w:rPr>
        <w:t>Error</w:t>
      </w:r>
    </w:p>
    <w:p>
      <w:pPr>
        <w:pStyle w:val="BodyText"/>
        <w:spacing w:before="119"/>
        <w:ind w:left="112" w:right="447"/>
      </w:pPr>
      <w:r>
        <w:rPr>
          <w:w w:val="110"/>
        </w:rPr>
        <w:t>This section sets out the possible errors scenarios that might occur when searching on a NSN where there is none in the system.</w:t>
      </w:r>
    </w:p>
    <w:p>
      <w:pPr>
        <w:pStyle w:val="BodyText"/>
        <w:spacing w:before="120"/>
        <w:ind w:left="112"/>
      </w:pPr>
      <w:r>
        <w:rPr>
          <w:w w:val="125"/>
        </w:rPr>
        <w:t>Steps:</w:t>
      </w:r>
    </w:p>
    <w:p>
      <w:pPr>
        <w:pStyle w:val="ListParagraph"/>
        <w:numPr>
          <w:ilvl w:val="1"/>
          <w:numId w:val="10"/>
        </w:numPr>
        <w:tabs>
          <w:tab w:pos="826" w:val="left" w:leader="none"/>
        </w:tabs>
        <w:spacing w:line="240" w:lineRule="auto" w:before="119" w:after="0"/>
        <w:ind w:left="825" w:right="0" w:hanging="355"/>
        <w:jc w:val="left"/>
        <w:rPr>
          <w:sz w:val="22"/>
        </w:rPr>
      </w:pPr>
      <w:r>
        <w:rPr>
          <w:w w:val="115"/>
          <w:sz w:val="22"/>
        </w:rPr>
        <w:t>The Marker the accesses the candidate search</w:t>
      </w:r>
      <w:r>
        <w:rPr>
          <w:spacing w:val="-19"/>
          <w:w w:val="115"/>
          <w:sz w:val="22"/>
        </w:rPr>
        <w:t> </w:t>
      </w:r>
      <w:r>
        <w:rPr>
          <w:w w:val="115"/>
          <w:sz w:val="22"/>
        </w:rPr>
        <w:t>page.</w:t>
      </w:r>
    </w:p>
    <w:p>
      <w:pPr>
        <w:pStyle w:val="ListParagraph"/>
        <w:numPr>
          <w:ilvl w:val="1"/>
          <w:numId w:val="10"/>
        </w:numPr>
        <w:tabs>
          <w:tab w:pos="826" w:val="left" w:leader="none"/>
        </w:tabs>
        <w:spacing w:line="240" w:lineRule="auto" w:before="122" w:after="0"/>
        <w:ind w:left="825" w:right="953" w:hanging="355"/>
        <w:jc w:val="left"/>
        <w:rPr>
          <w:sz w:val="22"/>
        </w:rPr>
      </w:pPr>
      <w:r>
        <w:rPr>
          <w:w w:val="110"/>
          <w:sz w:val="22"/>
        </w:rPr>
        <w:t>The</w:t>
      </w:r>
      <w:r>
        <w:rPr>
          <w:spacing w:val="-4"/>
          <w:w w:val="110"/>
          <w:sz w:val="22"/>
        </w:rPr>
        <w:t> </w:t>
      </w:r>
      <w:r>
        <w:rPr>
          <w:w w:val="110"/>
          <w:sz w:val="22"/>
        </w:rPr>
        <w:t>Marker</w:t>
      </w:r>
      <w:r>
        <w:rPr>
          <w:spacing w:val="-2"/>
          <w:w w:val="110"/>
          <w:sz w:val="22"/>
        </w:rPr>
        <w:t> </w:t>
      </w:r>
      <w:r>
        <w:rPr>
          <w:w w:val="110"/>
          <w:sz w:val="22"/>
        </w:rPr>
        <w:t>enters</w:t>
      </w:r>
      <w:r>
        <w:rPr>
          <w:spacing w:val="-4"/>
          <w:w w:val="110"/>
          <w:sz w:val="22"/>
        </w:rPr>
        <w:t> </w:t>
      </w:r>
      <w:r>
        <w:rPr>
          <w:w w:val="110"/>
          <w:sz w:val="22"/>
        </w:rPr>
        <w:t>an</w:t>
      </w:r>
      <w:r>
        <w:rPr>
          <w:spacing w:val="-2"/>
          <w:w w:val="110"/>
          <w:sz w:val="22"/>
        </w:rPr>
        <w:t> </w:t>
      </w:r>
      <w:r>
        <w:rPr>
          <w:w w:val="110"/>
          <w:sz w:val="22"/>
        </w:rPr>
        <w:t>NSN</w:t>
      </w:r>
      <w:r>
        <w:rPr>
          <w:spacing w:val="-4"/>
          <w:w w:val="110"/>
          <w:sz w:val="22"/>
        </w:rPr>
        <w:t> </w:t>
      </w:r>
      <w:r>
        <w:rPr>
          <w:w w:val="110"/>
          <w:sz w:val="22"/>
        </w:rPr>
        <w:t>for</w:t>
      </w:r>
      <w:r>
        <w:rPr>
          <w:spacing w:val="-2"/>
          <w:w w:val="110"/>
          <w:sz w:val="22"/>
        </w:rPr>
        <w:t> </w:t>
      </w:r>
      <w:r>
        <w:rPr>
          <w:w w:val="110"/>
          <w:sz w:val="22"/>
        </w:rPr>
        <w:t>which</w:t>
      </w:r>
      <w:r>
        <w:rPr>
          <w:spacing w:val="-2"/>
          <w:w w:val="110"/>
          <w:sz w:val="22"/>
        </w:rPr>
        <w:t> </w:t>
      </w:r>
      <w:r>
        <w:rPr>
          <w:w w:val="110"/>
          <w:sz w:val="22"/>
        </w:rPr>
        <w:t>they</w:t>
      </w:r>
      <w:r>
        <w:rPr>
          <w:spacing w:val="-4"/>
          <w:w w:val="110"/>
          <w:sz w:val="22"/>
        </w:rPr>
        <w:t> </w:t>
      </w:r>
      <w:r>
        <w:rPr>
          <w:w w:val="110"/>
          <w:sz w:val="22"/>
        </w:rPr>
        <w:t>are</w:t>
      </w:r>
      <w:r>
        <w:rPr>
          <w:spacing w:val="-2"/>
          <w:w w:val="110"/>
          <w:sz w:val="22"/>
        </w:rPr>
        <w:t> </w:t>
      </w:r>
      <w:r>
        <w:rPr>
          <w:w w:val="110"/>
          <w:sz w:val="22"/>
        </w:rPr>
        <w:t>not</w:t>
      </w:r>
      <w:r>
        <w:rPr>
          <w:spacing w:val="-3"/>
          <w:w w:val="110"/>
          <w:sz w:val="22"/>
        </w:rPr>
        <w:t> </w:t>
      </w:r>
      <w:r>
        <w:rPr>
          <w:w w:val="110"/>
          <w:sz w:val="22"/>
        </w:rPr>
        <w:t>capable</w:t>
      </w:r>
      <w:r>
        <w:rPr>
          <w:spacing w:val="-3"/>
          <w:w w:val="110"/>
          <w:sz w:val="22"/>
        </w:rPr>
        <w:t> </w:t>
      </w:r>
      <w:r>
        <w:rPr>
          <w:w w:val="110"/>
          <w:sz w:val="22"/>
        </w:rPr>
        <w:t>of</w:t>
      </w:r>
      <w:r>
        <w:rPr>
          <w:spacing w:val="-4"/>
          <w:w w:val="110"/>
          <w:sz w:val="22"/>
        </w:rPr>
        <w:t> </w:t>
      </w:r>
      <w:r>
        <w:rPr>
          <w:w w:val="110"/>
          <w:sz w:val="22"/>
        </w:rPr>
        <w:t>marking</w:t>
      </w:r>
      <w:r>
        <w:rPr>
          <w:spacing w:val="-2"/>
          <w:w w:val="110"/>
          <w:sz w:val="22"/>
        </w:rPr>
        <w:t> </w:t>
      </w:r>
      <w:r>
        <w:rPr>
          <w:w w:val="110"/>
          <w:sz w:val="22"/>
        </w:rPr>
        <w:t>according</w:t>
      </w:r>
      <w:r>
        <w:rPr>
          <w:spacing w:val="-3"/>
          <w:w w:val="110"/>
          <w:sz w:val="22"/>
        </w:rPr>
        <w:t> </w:t>
      </w:r>
      <w:r>
        <w:rPr>
          <w:w w:val="110"/>
          <w:sz w:val="22"/>
        </w:rPr>
        <w:t>to</w:t>
      </w:r>
      <w:r>
        <w:rPr>
          <w:spacing w:val="-6"/>
          <w:w w:val="110"/>
          <w:sz w:val="22"/>
        </w:rPr>
        <w:t> </w:t>
      </w:r>
      <w:r>
        <w:rPr>
          <w:w w:val="110"/>
          <w:sz w:val="22"/>
        </w:rPr>
        <w:t>the system.</w:t>
      </w:r>
    </w:p>
    <w:p>
      <w:pPr>
        <w:pStyle w:val="ListParagraph"/>
        <w:numPr>
          <w:ilvl w:val="1"/>
          <w:numId w:val="10"/>
        </w:numPr>
        <w:tabs>
          <w:tab w:pos="826" w:val="left" w:leader="none"/>
        </w:tabs>
        <w:spacing w:line="240" w:lineRule="auto" w:before="120" w:after="0"/>
        <w:ind w:left="825" w:right="0" w:hanging="355"/>
        <w:jc w:val="left"/>
        <w:rPr>
          <w:sz w:val="22"/>
        </w:rPr>
      </w:pPr>
      <w:r>
        <w:rPr>
          <w:w w:val="110"/>
          <w:sz w:val="22"/>
        </w:rPr>
        <w:t>The Search Page notifies the Marker that there are no records for this</w:t>
      </w:r>
      <w:r>
        <w:rPr>
          <w:spacing w:val="13"/>
          <w:w w:val="110"/>
          <w:sz w:val="22"/>
        </w:rPr>
        <w:t> </w:t>
      </w:r>
      <w:r>
        <w:rPr>
          <w:w w:val="110"/>
          <w:sz w:val="22"/>
        </w:rPr>
        <w:t>NSN.</w:t>
      </w:r>
    </w:p>
    <w:p>
      <w:pPr>
        <w:pStyle w:val="ListParagraph"/>
        <w:numPr>
          <w:ilvl w:val="1"/>
          <w:numId w:val="10"/>
        </w:numPr>
        <w:tabs>
          <w:tab w:pos="826" w:val="left" w:leader="none"/>
        </w:tabs>
        <w:spacing w:line="240" w:lineRule="auto" w:before="119" w:after="0"/>
        <w:ind w:left="825" w:right="1104" w:hanging="355"/>
        <w:jc w:val="left"/>
        <w:rPr>
          <w:sz w:val="22"/>
        </w:rPr>
      </w:pPr>
      <w:r>
        <w:rPr/>
        <w:pict>
          <v:group style="position:absolute;margin-left:56.639999pt;margin-top:37.219555pt;width:481.95pt;height:182.55pt;mso-position-horizontal-relative:page;mso-position-vertical-relative:paragraph;z-index:-160;mso-wrap-distance-left:0;mso-wrap-distance-right:0" coordorigin="1133,744" coordsize="9639,3651">
            <v:line style="position:absolute" from="1133,749" to="10762,749" stroked="true" strokeweight=".480011pt" strokecolor="#000000">
              <v:stroke dashstyle="solid"/>
            </v:line>
            <v:line style="position:absolute" from="1133,4390" to="3461,4390" stroked="true" strokeweight=".479965pt" strokecolor="#000000">
              <v:stroke dashstyle="solid"/>
            </v:line>
            <v:line style="position:absolute" from="3466,754" to="3466,4395" stroked="true" strokeweight=".48pt" strokecolor="#000000">
              <v:stroke dashstyle="solid"/>
            </v:line>
            <v:line style="position:absolute" from="3470,4390" to="10762,4390" stroked="true" strokeweight=".479965pt" strokecolor="#000000">
              <v:stroke dashstyle="solid"/>
            </v:line>
            <v:line style="position:absolute" from="10766,744" to="10766,4395" stroked="true" strokeweight=".480011pt" strokecolor="#000000">
              <v:stroke dashstyle="solid"/>
            </v:line>
            <v:shape style="position:absolute;left:3576;top:756;width:7085;height:3622" type="#_x0000_t75" stroked="false">
              <v:imagedata r:id="rId48" o:title=""/>
            </v:shape>
            <v:shape style="position:absolute;left:1137;top:749;width:2328;height:3641" type="#_x0000_t202" filled="false" stroked="true" strokeweight=".48pt" strokecolor="#000000">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0"/>
                      <w:rPr>
                        <w:sz w:val="19"/>
                      </w:rPr>
                    </w:pPr>
                  </w:p>
                  <w:p>
                    <w:pPr>
                      <w:spacing w:before="1"/>
                      <w:ind w:left="105" w:right="140" w:firstLine="0"/>
                      <w:jc w:val="left"/>
                      <w:rPr>
                        <w:sz w:val="20"/>
                      </w:rPr>
                    </w:pPr>
                    <w:r>
                      <w:rPr>
                        <w:w w:val="120"/>
                        <w:sz w:val="20"/>
                      </w:rPr>
                      <w:t>Screen shot example: Candidate Search page – No matching results.</w:t>
                    </w:r>
                  </w:p>
                </w:txbxContent>
              </v:textbox>
              <v:stroke dashstyle="solid"/>
              <w10:wrap type="none"/>
            </v:shape>
            <w10:wrap type="topAndBottom"/>
          </v:group>
        </w:pict>
      </w:r>
      <w:r>
        <w:rPr>
          <w:w w:val="110"/>
          <w:sz w:val="22"/>
        </w:rPr>
        <w:t>Double check the NSN entry to ensure that the NSN entered is correct. If the NSN is entered correctly and you continue to receive the error message contact</w:t>
      </w:r>
      <w:r>
        <w:rPr>
          <w:spacing w:val="16"/>
          <w:w w:val="110"/>
          <w:sz w:val="22"/>
        </w:rPr>
        <w:t> </w:t>
      </w:r>
      <w:r>
        <w:rPr>
          <w:w w:val="110"/>
          <w:sz w:val="22"/>
        </w:rPr>
        <w:t>NZQA.</w:t>
      </w:r>
    </w:p>
    <w:p>
      <w:pPr>
        <w:pStyle w:val="BodyText"/>
        <w:spacing w:before="1"/>
        <w:rPr>
          <w:sz w:val="11"/>
        </w:rPr>
      </w:pPr>
    </w:p>
    <w:p>
      <w:pPr>
        <w:pStyle w:val="ListParagraph"/>
        <w:numPr>
          <w:ilvl w:val="0"/>
          <w:numId w:val="10"/>
        </w:numPr>
        <w:tabs>
          <w:tab w:pos="473" w:val="left" w:leader="none"/>
        </w:tabs>
        <w:spacing w:line="240" w:lineRule="auto" w:before="91" w:after="0"/>
        <w:ind w:left="472" w:right="0" w:hanging="360"/>
        <w:jc w:val="left"/>
        <w:rPr>
          <w:sz w:val="22"/>
        </w:rPr>
      </w:pPr>
      <w:r>
        <w:rPr>
          <w:w w:val="120"/>
          <w:sz w:val="22"/>
        </w:rPr>
        <w:t>Result Already Present</w:t>
      </w:r>
      <w:r>
        <w:rPr>
          <w:spacing w:val="-15"/>
          <w:w w:val="120"/>
          <w:sz w:val="22"/>
        </w:rPr>
        <w:t> </w:t>
      </w:r>
      <w:r>
        <w:rPr>
          <w:w w:val="120"/>
          <w:sz w:val="22"/>
        </w:rPr>
        <w:t>Error</w:t>
      </w:r>
    </w:p>
    <w:p>
      <w:pPr>
        <w:pStyle w:val="BodyText"/>
        <w:spacing w:before="122"/>
        <w:ind w:left="112" w:right="447"/>
      </w:pPr>
      <w:r>
        <w:rPr>
          <w:w w:val="110"/>
        </w:rPr>
        <w:t>This section sets out the possible errors scenarios that might occur when searching on a NSN and there is already a result entered.</w:t>
      </w:r>
    </w:p>
    <w:p>
      <w:pPr>
        <w:pStyle w:val="ListParagraph"/>
        <w:numPr>
          <w:ilvl w:val="1"/>
          <w:numId w:val="10"/>
        </w:numPr>
        <w:tabs>
          <w:tab w:pos="826" w:val="left" w:leader="none"/>
        </w:tabs>
        <w:spacing w:line="240" w:lineRule="auto" w:before="118" w:after="0"/>
        <w:ind w:left="825" w:right="0" w:hanging="355"/>
        <w:jc w:val="left"/>
        <w:rPr>
          <w:sz w:val="22"/>
        </w:rPr>
      </w:pPr>
      <w:r>
        <w:rPr>
          <w:w w:val="115"/>
          <w:sz w:val="22"/>
        </w:rPr>
        <w:t>The Marker accesses the candidate search</w:t>
      </w:r>
      <w:r>
        <w:rPr>
          <w:spacing w:val="-21"/>
          <w:w w:val="115"/>
          <w:sz w:val="22"/>
        </w:rPr>
        <w:t> </w:t>
      </w:r>
      <w:r>
        <w:rPr>
          <w:w w:val="115"/>
          <w:sz w:val="22"/>
        </w:rPr>
        <w:t>page.</w:t>
      </w:r>
    </w:p>
    <w:p>
      <w:pPr>
        <w:pStyle w:val="ListParagraph"/>
        <w:numPr>
          <w:ilvl w:val="1"/>
          <w:numId w:val="10"/>
        </w:numPr>
        <w:tabs>
          <w:tab w:pos="826" w:val="left" w:leader="none"/>
        </w:tabs>
        <w:spacing w:line="240" w:lineRule="auto" w:before="121" w:after="0"/>
        <w:ind w:left="825" w:right="0" w:hanging="355"/>
        <w:jc w:val="left"/>
        <w:rPr>
          <w:sz w:val="22"/>
        </w:rPr>
      </w:pPr>
      <w:r>
        <w:rPr>
          <w:w w:val="115"/>
          <w:sz w:val="22"/>
        </w:rPr>
        <w:t>The Marker enters an NSN and selects the</w:t>
      </w:r>
      <w:r>
        <w:rPr>
          <w:spacing w:val="-35"/>
          <w:w w:val="115"/>
          <w:sz w:val="22"/>
        </w:rPr>
        <w:t> </w:t>
      </w:r>
      <w:r>
        <w:rPr>
          <w:w w:val="115"/>
          <w:sz w:val="22"/>
        </w:rPr>
        <w:t>‘Search</w:t>
      </w:r>
    </w:p>
    <w:p>
      <w:pPr>
        <w:pStyle w:val="ListParagraph"/>
        <w:numPr>
          <w:ilvl w:val="1"/>
          <w:numId w:val="10"/>
        </w:numPr>
        <w:tabs>
          <w:tab w:pos="826" w:val="left" w:leader="none"/>
        </w:tabs>
        <w:spacing w:line="240" w:lineRule="auto" w:before="119" w:after="0"/>
        <w:ind w:left="825" w:right="0" w:hanging="355"/>
        <w:jc w:val="left"/>
        <w:rPr>
          <w:sz w:val="22"/>
        </w:rPr>
      </w:pPr>
      <w:r>
        <w:rPr>
          <w:w w:val="110"/>
          <w:sz w:val="22"/>
        </w:rPr>
        <w:t>The system displays the results and the marker selects ‘Accept’ button for a</w:t>
      </w:r>
      <w:r>
        <w:rPr>
          <w:spacing w:val="21"/>
          <w:w w:val="110"/>
          <w:sz w:val="22"/>
        </w:rPr>
        <w:t> </w:t>
      </w:r>
      <w:r>
        <w:rPr>
          <w:w w:val="110"/>
          <w:sz w:val="22"/>
        </w:rPr>
        <w:t>standard.</w:t>
      </w:r>
    </w:p>
    <w:p>
      <w:pPr>
        <w:pStyle w:val="BodyText"/>
        <w:spacing w:before="122"/>
        <w:ind w:left="112" w:right="447"/>
      </w:pPr>
      <w:r>
        <w:rPr/>
        <w:pict>
          <v:group style="position:absolute;margin-left:56.640003pt;margin-top:43.969547pt;width:119.65pt;height:187.2pt;mso-position-horizontal-relative:page;mso-position-vertical-relative:paragraph;z-index:1960" coordorigin="1133,879" coordsize="2393,3744">
            <v:shape style="position:absolute;left:1248;top:2693;width:300;height:300" type="#_x0000_t75" stroked="false">
              <v:imagedata r:id="rId40" o:title=""/>
            </v:shape>
            <v:shape style="position:absolute;left:1137;top:884;width:2384;height:3735" type="#_x0000_t202" filled="false" stroked="true" strokeweight=".479999pt" strokecolor="#000000">
              <v:textbox inset="0,0,0,0">
                <w:txbxContent>
                  <w:p>
                    <w:pPr>
                      <w:spacing w:line="240" w:lineRule="auto" w:before="0"/>
                      <w:rPr>
                        <w:sz w:val="22"/>
                      </w:rPr>
                    </w:pPr>
                  </w:p>
                  <w:p>
                    <w:pPr>
                      <w:spacing w:line="240" w:lineRule="auto" w:before="0"/>
                      <w:rPr>
                        <w:sz w:val="22"/>
                      </w:rPr>
                    </w:pPr>
                  </w:p>
                  <w:p>
                    <w:pPr>
                      <w:spacing w:before="149"/>
                      <w:ind w:left="105" w:right="131" w:firstLine="0"/>
                      <w:jc w:val="left"/>
                      <w:rPr>
                        <w:sz w:val="20"/>
                      </w:rPr>
                    </w:pPr>
                    <w:r>
                      <w:rPr>
                        <w:w w:val="120"/>
                        <w:sz w:val="20"/>
                      </w:rPr>
                      <w:t>Screen shot example: Candidate Search page – Result </w:t>
                    </w:r>
                    <w:r>
                      <w:rPr>
                        <w:spacing w:val="-3"/>
                        <w:w w:val="120"/>
                        <w:sz w:val="20"/>
                      </w:rPr>
                      <w:t>Already </w:t>
                    </w:r>
                    <w:r>
                      <w:rPr>
                        <w:w w:val="120"/>
                        <w:sz w:val="20"/>
                      </w:rPr>
                      <w:t>Entered.</w:t>
                    </w:r>
                  </w:p>
                  <w:p>
                    <w:pPr>
                      <w:spacing w:line="240" w:lineRule="auto" w:before="9"/>
                      <w:rPr>
                        <w:sz w:val="29"/>
                      </w:rPr>
                    </w:pPr>
                  </w:p>
                  <w:p>
                    <w:pPr>
                      <w:spacing w:before="0"/>
                      <w:ind w:left="105" w:right="248" w:firstLine="355"/>
                      <w:jc w:val="left"/>
                      <w:rPr>
                        <w:sz w:val="20"/>
                      </w:rPr>
                    </w:pPr>
                    <w:r>
                      <w:rPr>
                        <w:w w:val="105"/>
                        <w:sz w:val="20"/>
                      </w:rPr>
                      <w:t>Note– If there is currently a result entered for the NSN then contact NZQA. Contact NZQA.</w:t>
                    </w:r>
                  </w:p>
                </w:txbxContent>
              </v:textbox>
              <v:stroke dashstyle="solid"/>
              <w10:wrap type="none"/>
            </v:shape>
            <w10:wrap type="none"/>
          </v:group>
        </w:pict>
      </w:r>
      <w:r>
        <w:rPr>
          <w:w w:val="110"/>
        </w:rPr>
        <w:t>The Search Page notifies the Marker that the portfolio cannot be re-allocated because there is already a result associated with it.</w:t>
      </w:r>
    </w:p>
    <w:p>
      <w:pPr>
        <w:pStyle w:val="BodyText"/>
        <w:rPr>
          <w:sz w:val="18"/>
        </w:rPr>
      </w:pPr>
      <w:r>
        <w:rPr/>
        <w:pict>
          <v:group style="position:absolute;margin-left:56.639999pt;margin-top:12.564147pt;width:481.95pt;height:187.2pt;mso-position-horizontal-relative:page;mso-position-vertical-relative:paragraph;z-index:-136;mso-wrap-distance-left:0;mso-wrap-distance-right:0" coordorigin="1133,251" coordsize="9639,3744">
            <v:line style="position:absolute" from="1133,256" to="10762,256" stroked="true" strokeweight=".480011pt" strokecolor="#000000">
              <v:stroke dashstyle="solid"/>
            </v:line>
            <v:line style="position:absolute" from="1133,3990" to="3516,3990" stroked="true" strokeweight=".480011pt" strokecolor="#000000">
              <v:stroke dashstyle="solid"/>
            </v:line>
            <v:line style="position:absolute" from="3521,261" to="3521,3995" stroked="true" strokeweight=".479999pt" strokecolor="#000000">
              <v:stroke dashstyle="solid"/>
            </v:line>
            <v:line style="position:absolute" from="3526,3990" to="10762,3990" stroked="true" strokeweight=".480011pt" strokecolor="#000000">
              <v:stroke dashstyle="solid"/>
            </v:line>
            <v:line style="position:absolute" from="10766,251" to="10766,3995" stroked="true" strokeweight=".480011pt" strokecolor="#000000">
              <v:stroke dashstyle="solid"/>
            </v:line>
            <v:shape style="position:absolute;left:3631;top:260;width:7030;height:3725" type="#_x0000_t75" stroked="false">
              <v:imagedata r:id="rId49" o:title=""/>
            </v:shape>
            <w10:wrap type="topAndBottom"/>
          </v:group>
        </w:pict>
      </w:r>
    </w:p>
    <w:p>
      <w:pPr>
        <w:spacing w:after="0"/>
        <w:rPr>
          <w:sz w:val="18"/>
        </w:rPr>
        <w:sectPr>
          <w:pgSz w:w="11910" w:h="16840"/>
          <w:pgMar w:header="0" w:footer="642" w:top="1040" w:bottom="840" w:left="1020" w:right="760"/>
        </w:sectPr>
      </w:pPr>
    </w:p>
    <w:p>
      <w:pPr>
        <w:pStyle w:val="ListParagraph"/>
        <w:numPr>
          <w:ilvl w:val="0"/>
          <w:numId w:val="10"/>
        </w:numPr>
        <w:tabs>
          <w:tab w:pos="473" w:val="left" w:leader="none"/>
        </w:tabs>
        <w:spacing w:line="240" w:lineRule="auto" w:before="75" w:after="0"/>
        <w:ind w:left="472" w:right="0" w:hanging="360"/>
        <w:jc w:val="left"/>
        <w:rPr>
          <w:sz w:val="22"/>
        </w:rPr>
      </w:pPr>
      <w:r>
        <w:rPr>
          <w:w w:val="120"/>
          <w:sz w:val="22"/>
        </w:rPr>
        <w:t>Forbidden Provider warning</w:t>
      </w:r>
      <w:r>
        <w:rPr>
          <w:spacing w:val="-20"/>
          <w:w w:val="120"/>
          <w:sz w:val="22"/>
        </w:rPr>
        <w:t> </w:t>
      </w:r>
      <w:r>
        <w:rPr>
          <w:w w:val="120"/>
          <w:sz w:val="22"/>
        </w:rPr>
        <w:t>message.</w:t>
      </w:r>
    </w:p>
    <w:p>
      <w:pPr>
        <w:pStyle w:val="BodyText"/>
      </w:pPr>
    </w:p>
    <w:p>
      <w:pPr>
        <w:pStyle w:val="BodyText"/>
        <w:spacing w:before="1"/>
        <w:ind w:left="112" w:right="447"/>
      </w:pPr>
      <w:r>
        <w:rPr>
          <w:w w:val="110"/>
        </w:rPr>
        <w:t>This section sets out the possible errors scenarios that might occur when searching on a NSN and there is already a result entered.</w:t>
      </w:r>
    </w:p>
    <w:p>
      <w:pPr>
        <w:pStyle w:val="ListParagraph"/>
        <w:numPr>
          <w:ilvl w:val="1"/>
          <w:numId w:val="10"/>
        </w:numPr>
        <w:tabs>
          <w:tab w:pos="833" w:val="left" w:leader="none"/>
        </w:tabs>
        <w:spacing w:line="240" w:lineRule="auto" w:before="120" w:after="0"/>
        <w:ind w:left="832" w:right="0" w:hanging="360"/>
        <w:jc w:val="left"/>
        <w:rPr>
          <w:sz w:val="22"/>
        </w:rPr>
      </w:pPr>
      <w:r>
        <w:rPr>
          <w:w w:val="115"/>
          <w:sz w:val="22"/>
        </w:rPr>
        <w:t>The Marker the accesses the candidate search</w:t>
      </w:r>
      <w:r>
        <w:rPr>
          <w:spacing w:val="-22"/>
          <w:w w:val="115"/>
          <w:sz w:val="22"/>
        </w:rPr>
        <w:t> </w:t>
      </w:r>
      <w:r>
        <w:rPr>
          <w:w w:val="115"/>
          <w:sz w:val="22"/>
        </w:rPr>
        <w:t>page.</w:t>
      </w:r>
    </w:p>
    <w:p>
      <w:pPr>
        <w:pStyle w:val="ListParagraph"/>
        <w:numPr>
          <w:ilvl w:val="1"/>
          <w:numId w:val="10"/>
        </w:numPr>
        <w:tabs>
          <w:tab w:pos="833" w:val="left" w:leader="none"/>
        </w:tabs>
        <w:spacing w:line="240" w:lineRule="auto" w:before="172" w:after="0"/>
        <w:ind w:left="832" w:right="0" w:hanging="360"/>
        <w:jc w:val="left"/>
        <w:rPr>
          <w:sz w:val="22"/>
        </w:rPr>
      </w:pPr>
      <w:r>
        <w:rPr>
          <w:w w:val="110"/>
          <w:sz w:val="22"/>
        </w:rPr>
        <w:t>The Marker enters an NSN and selects the ‘Search’</w:t>
      </w:r>
      <w:r>
        <w:rPr>
          <w:spacing w:val="6"/>
          <w:w w:val="110"/>
          <w:sz w:val="22"/>
        </w:rPr>
        <w:t> </w:t>
      </w:r>
      <w:r>
        <w:rPr>
          <w:w w:val="110"/>
          <w:sz w:val="22"/>
        </w:rPr>
        <w:t>button.</w:t>
      </w:r>
    </w:p>
    <w:p>
      <w:pPr>
        <w:pStyle w:val="BodyText"/>
        <w:spacing w:before="169"/>
        <w:ind w:left="112"/>
      </w:pPr>
      <w:r>
        <w:rPr/>
        <w:pict>
          <v:group style="position:absolute;margin-left:56.640003pt;margin-top:46.319511pt;width:122.3pt;height:178.45pt;mso-position-horizontal-relative:page;mso-position-vertical-relative:paragraph;z-index:2080" coordorigin="1133,926" coordsize="2446,3569">
            <v:shape style="position:absolute;left:1248;top:2539;width:300;height:300" type="#_x0000_t75" stroked="false">
              <v:imagedata r:id="rId40" o:title=""/>
            </v:shape>
            <v:shape style="position:absolute;left:1137;top:931;width:2436;height:3560" type="#_x0000_t202" filled="false" stroked="true" strokeweight=".48pt" strokecolor="#000000">
              <v:textbox inset="0,0,0,0">
                <w:txbxContent>
                  <w:p>
                    <w:pPr>
                      <w:spacing w:line="240" w:lineRule="auto" w:before="0"/>
                      <w:rPr>
                        <w:sz w:val="22"/>
                      </w:rPr>
                    </w:pPr>
                  </w:p>
                  <w:p>
                    <w:pPr>
                      <w:spacing w:line="240" w:lineRule="auto" w:before="0"/>
                      <w:rPr>
                        <w:sz w:val="22"/>
                      </w:rPr>
                    </w:pPr>
                  </w:p>
                  <w:p>
                    <w:pPr>
                      <w:spacing w:before="178"/>
                      <w:ind w:left="105" w:right="102" w:firstLine="0"/>
                      <w:jc w:val="left"/>
                      <w:rPr>
                        <w:sz w:val="20"/>
                      </w:rPr>
                    </w:pPr>
                    <w:r>
                      <w:rPr>
                        <w:w w:val="120"/>
                        <w:sz w:val="20"/>
                      </w:rPr>
                      <w:t>Screen shot example: Candidate Search page</w:t>
                    </w:r>
                  </w:p>
                  <w:p>
                    <w:pPr>
                      <w:spacing w:before="1"/>
                      <w:ind w:left="105" w:right="0" w:firstLine="0"/>
                      <w:jc w:val="left"/>
                      <w:rPr>
                        <w:sz w:val="20"/>
                      </w:rPr>
                    </w:pPr>
                    <w:r>
                      <w:rPr>
                        <w:w w:val="115"/>
                        <w:sz w:val="20"/>
                      </w:rPr>
                      <w:t>– Forbidden Provider.</w:t>
                    </w:r>
                  </w:p>
                  <w:p>
                    <w:pPr>
                      <w:spacing w:line="240" w:lineRule="auto" w:before="8"/>
                      <w:rPr>
                        <w:sz w:val="29"/>
                      </w:rPr>
                    </w:pPr>
                  </w:p>
                  <w:p>
                    <w:pPr>
                      <w:spacing w:before="0"/>
                      <w:ind w:left="105" w:right="130" w:firstLine="355"/>
                      <w:jc w:val="left"/>
                      <w:rPr>
                        <w:sz w:val="20"/>
                      </w:rPr>
                    </w:pPr>
                    <w:r>
                      <w:rPr>
                        <w:w w:val="110"/>
                        <w:sz w:val="20"/>
                      </w:rPr>
                      <w:t>Note– This is a warning</w:t>
                    </w:r>
                    <w:r>
                      <w:rPr>
                        <w:spacing w:val="-25"/>
                        <w:w w:val="110"/>
                        <w:sz w:val="20"/>
                      </w:rPr>
                      <w:t> </w:t>
                    </w:r>
                    <w:r>
                      <w:rPr>
                        <w:w w:val="110"/>
                        <w:sz w:val="20"/>
                      </w:rPr>
                      <w:t>only</w:t>
                    </w:r>
                    <w:r>
                      <w:rPr>
                        <w:spacing w:val="-27"/>
                        <w:w w:val="110"/>
                        <w:sz w:val="20"/>
                      </w:rPr>
                      <w:t> </w:t>
                    </w:r>
                    <w:r>
                      <w:rPr>
                        <w:w w:val="110"/>
                        <w:sz w:val="20"/>
                      </w:rPr>
                      <w:t>and</w:t>
                    </w:r>
                    <w:r>
                      <w:rPr>
                        <w:spacing w:val="-24"/>
                        <w:w w:val="110"/>
                        <w:sz w:val="20"/>
                      </w:rPr>
                      <w:t> </w:t>
                    </w:r>
                    <w:r>
                      <w:rPr>
                        <w:w w:val="110"/>
                        <w:sz w:val="20"/>
                      </w:rPr>
                      <w:t>will</w:t>
                    </w:r>
                    <w:r>
                      <w:rPr>
                        <w:spacing w:val="-26"/>
                        <w:w w:val="110"/>
                        <w:sz w:val="20"/>
                      </w:rPr>
                      <w:t> </w:t>
                    </w:r>
                    <w:r>
                      <w:rPr>
                        <w:w w:val="110"/>
                        <w:sz w:val="20"/>
                      </w:rPr>
                      <w:t>not stop the Re-allocation occurring.</w:t>
                    </w:r>
                  </w:p>
                </w:txbxContent>
              </v:textbox>
              <v:stroke dashstyle="solid"/>
              <w10:wrap type="none"/>
            </v:shape>
            <w10:wrap type="none"/>
          </v:group>
        </w:pict>
      </w:r>
      <w:r>
        <w:rPr>
          <w:w w:val="110"/>
        </w:rPr>
        <w:t>The Search Page notifies the Marker that the portfolio cannot be re-allocated because there is a forbidden provider association with the marker.</w:t>
      </w:r>
    </w:p>
    <w:p>
      <w:pPr>
        <w:pStyle w:val="BodyText"/>
        <w:rPr>
          <w:sz w:val="18"/>
        </w:rPr>
      </w:pPr>
      <w:r>
        <w:rPr/>
        <w:pict>
          <v:group style="position:absolute;margin-left:56.639999pt;margin-top:12.598546pt;width:481.95pt;height:178.45pt;mso-position-horizontal-relative:page;mso-position-vertical-relative:paragraph;z-index:-64;mso-wrap-distance-left:0;mso-wrap-distance-right:0" coordorigin="1133,252" coordsize="9639,3569">
            <v:line style="position:absolute" from="1133,257" to="10762,257" stroked="true" strokeweight=".480011pt" strokecolor="#000000">
              <v:stroke dashstyle="solid"/>
            </v:line>
            <v:line style="position:absolute" from="1133,3816" to="3569,3816" stroked="true" strokeweight=".480011pt" strokecolor="#000000">
              <v:stroke dashstyle="solid"/>
            </v:line>
            <v:line style="position:absolute" from="3574,262" to="3574,3821" stroked="true" strokeweight=".48pt" strokecolor="#000000">
              <v:stroke dashstyle="solid"/>
            </v:line>
            <v:line style="position:absolute" from="3578,3816" to="10762,3816" stroked="true" strokeweight=".480011pt" strokecolor="#000000">
              <v:stroke dashstyle="solid"/>
            </v:line>
            <v:line style="position:absolute" from="10766,252" to="10766,3821" stroked="true" strokeweight=".480011pt" strokecolor="#000000">
              <v:stroke dashstyle="solid"/>
            </v:line>
            <v:shape style="position:absolute;left:3684;top:263;width:6965;height:3548" type="#_x0000_t75" stroked="false">
              <v:imagedata r:id="rId51" o:title=""/>
            </v:shape>
            <w10:wrap type="topAndBottom"/>
          </v:group>
        </w:pict>
      </w:r>
    </w:p>
    <w:p>
      <w:pPr>
        <w:pStyle w:val="BodyText"/>
        <w:rPr>
          <w:sz w:val="20"/>
        </w:rPr>
      </w:pPr>
    </w:p>
    <w:p>
      <w:pPr>
        <w:pStyle w:val="BodyText"/>
        <w:spacing w:before="1"/>
        <w:rPr>
          <w:sz w:val="21"/>
        </w:rPr>
      </w:pPr>
    </w:p>
    <w:p>
      <w:pPr>
        <w:pStyle w:val="ListParagraph"/>
        <w:numPr>
          <w:ilvl w:val="0"/>
          <w:numId w:val="10"/>
        </w:numPr>
        <w:tabs>
          <w:tab w:pos="473" w:val="left" w:leader="none"/>
        </w:tabs>
        <w:spacing w:line="240" w:lineRule="auto" w:before="1" w:after="0"/>
        <w:ind w:left="472" w:right="0" w:hanging="360"/>
        <w:jc w:val="left"/>
        <w:rPr>
          <w:sz w:val="22"/>
        </w:rPr>
      </w:pPr>
      <w:r>
        <w:rPr>
          <w:w w:val="120"/>
          <w:sz w:val="22"/>
        </w:rPr>
        <w:t>Forbidden Learner warning</w:t>
      </w:r>
      <w:r>
        <w:rPr>
          <w:spacing w:val="-22"/>
          <w:w w:val="120"/>
          <w:sz w:val="22"/>
        </w:rPr>
        <w:t> </w:t>
      </w:r>
      <w:r>
        <w:rPr>
          <w:w w:val="120"/>
          <w:sz w:val="22"/>
        </w:rPr>
        <w:t>message.</w:t>
      </w:r>
    </w:p>
    <w:p>
      <w:pPr>
        <w:pStyle w:val="BodyText"/>
      </w:pPr>
    </w:p>
    <w:p>
      <w:pPr>
        <w:pStyle w:val="BodyText"/>
        <w:ind w:left="112" w:right="447"/>
      </w:pPr>
      <w:r>
        <w:rPr>
          <w:w w:val="110"/>
        </w:rPr>
        <w:t>This section sets out the possible errors scenarios that might occur when searching on a NSN and there is already a result entered.</w:t>
      </w:r>
    </w:p>
    <w:p>
      <w:pPr>
        <w:pStyle w:val="ListParagraph"/>
        <w:numPr>
          <w:ilvl w:val="1"/>
          <w:numId w:val="10"/>
        </w:numPr>
        <w:tabs>
          <w:tab w:pos="833" w:val="left" w:leader="none"/>
        </w:tabs>
        <w:spacing w:line="240" w:lineRule="auto" w:before="118" w:after="0"/>
        <w:ind w:left="832" w:right="0" w:hanging="360"/>
        <w:jc w:val="left"/>
        <w:rPr>
          <w:sz w:val="22"/>
        </w:rPr>
      </w:pPr>
      <w:r>
        <w:rPr>
          <w:w w:val="115"/>
          <w:sz w:val="22"/>
        </w:rPr>
        <w:t>The Marker the accesses the candidate search</w:t>
      </w:r>
      <w:r>
        <w:rPr>
          <w:spacing w:val="-22"/>
          <w:w w:val="115"/>
          <w:sz w:val="22"/>
        </w:rPr>
        <w:t> </w:t>
      </w:r>
      <w:r>
        <w:rPr>
          <w:w w:val="115"/>
          <w:sz w:val="22"/>
        </w:rPr>
        <w:t>page.</w:t>
      </w:r>
    </w:p>
    <w:p>
      <w:pPr>
        <w:pStyle w:val="ListParagraph"/>
        <w:numPr>
          <w:ilvl w:val="1"/>
          <w:numId w:val="10"/>
        </w:numPr>
        <w:tabs>
          <w:tab w:pos="833" w:val="left" w:leader="none"/>
        </w:tabs>
        <w:spacing w:line="240" w:lineRule="auto" w:before="172" w:after="0"/>
        <w:ind w:left="832" w:right="0" w:hanging="360"/>
        <w:jc w:val="left"/>
        <w:rPr>
          <w:sz w:val="22"/>
        </w:rPr>
      </w:pPr>
      <w:r>
        <w:rPr>
          <w:w w:val="110"/>
          <w:sz w:val="22"/>
        </w:rPr>
        <w:t>The Marker enters an NSN and selects the ‘Search’</w:t>
      </w:r>
      <w:r>
        <w:rPr>
          <w:spacing w:val="6"/>
          <w:w w:val="110"/>
          <w:sz w:val="22"/>
        </w:rPr>
        <w:t> </w:t>
      </w:r>
      <w:r>
        <w:rPr>
          <w:w w:val="110"/>
          <w:sz w:val="22"/>
        </w:rPr>
        <w:t>button.</w:t>
      </w:r>
    </w:p>
    <w:p>
      <w:pPr>
        <w:pStyle w:val="BodyText"/>
        <w:spacing w:before="169"/>
        <w:ind w:left="112"/>
      </w:pPr>
      <w:r>
        <w:rPr>
          <w:w w:val="110"/>
        </w:rPr>
        <w:t>The Search Page notifies the Marker that the portfolio cannot be re-allocated because there is a forbidden learner association with the marker.</w:t>
      </w:r>
    </w:p>
    <w:p>
      <w:pPr>
        <w:pStyle w:val="BodyText"/>
        <w:spacing w:before="3"/>
        <w:rPr>
          <w:sz w:val="18"/>
        </w:rPr>
      </w:pPr>
      <w:r>
        <w:rPr/>
        <w:pict>
          <v:group style="position:absolute;margin-left:56.639999pt;margin-top:12.725606pt;width:481.95pt;height:179.55pt;mso-position-horizontal-relative:page;mso-position-vertical-relative:paragraph;z-index:-16;mso-wrap-distance-left:0;mso-wrap-distance-right:0" coordorigin="1133,255" coordsize="9639,3591">
            <v:line style="position:absolute" from="1133,259" to="10762,259" stroked="true" strokeweight=".480011pt" strokecolor="#000000">
              <v:stroke dashstyle="solid"/>
            </v:line>
            <v:line style="position:absolute" from="1133,3840" to="3526,3840" stroked="true" strokeweight=".480011pt" strokecolor="#000000">
              <v:stroke dashstyle="solid"/>
            </v:line>
            <v:line style="position:absolute" from="3530,264" to="3530,3845" stroked="true" strokeweight=".48pt" strokecolor="#000000">
              <v:stroke dashstyle="solid"/>
            </v:line>
            <v:line style="position:absolute" from="3535,3840" to="10762,3840" stroked="true" strokeweight=".480011pt" strokecolor="#000000">
              <v:stroke dashstyle="solid"/>
            </v:line>
            <v:line style="position:absolute" from="10766,255" to="10766,3845" stroked="true" strokeweight=".480011pt" strokecolor="#000000">
              <v:stroke dashstyle="solid"/>
            </v:line>
            <v:shape style="position:absolute;left:3640;top:264;width:7006;height:3572" type="#_x0000_t75" stroked="false">
              <v:imagedata r:id="rId52" o:title=""/>
            </v:shape>
            <v:shape style="position:absolute;left:1137;top:259;width:2393;height:3581" type="#_x0000_t202" filled="false" stroked="true" strokeweight=".48pt" strokecolor="#000000">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
                      <w:rPr>
                        <w:sz w:val="29"/>
                      </w:rPr>
                    </w:pPr>
                  </w:p>
                  <w:p>
                    <w:pPr>
                      <w:spacing w:before="0"/>
                      <w:ind w:left="105" w:right="205" w:firstLine="0"/>
                      <w:jc w:val="left"/>
                      <w:rPr>
                        <w:sz w:val="20"/>
                      </w:rPr>
                    </w:pPr>
                    <w:r>
                      <w:rPr>
                        <w:w w:val="120"/>
                        <w:sz w:val="20"/>
                      </w:rPr>
                      <w:t>Screen shot example: Candidate Search page – Forbidden Provider.</w:t>
                    </w:r>
                  </w:p>
                </w:txbxContent>
              </v:textbox>
              <v:stroke dashstyle="solid"/>
              <w10:wrap type="none"/>
            </v:shape>
            <w10:wrap type="topAndBottom"/>
          </v:group>
        </w:pict>
      </w:r>
    </w:p>
    <w:p>
      <w:pPr>
        <w:pStyle w:val="BodyText"/>
        <w:spacing w:before="1"/>
        <w:rPr>
          <w:sz w:val="11"/>
        </w:rPr>
      </w:pPr>
    </w:p>
    <w:p>
      <w:pPr>
        <w:pStyle w:val="BodyText"/>
        <w:spacing w:before="91"/>
        <w:ind w:left="112" w:right="1509"/>
      </w:pPr>
      <w:r>
        <w:rPr>
          <w:w w:val="110"/>
        </w:rPr>
        <w:t>For further information contact the Senior Business Liaison Officer on 0800 222 230 or </w:t>
      </w:r>
      <w:hyperlink r:id="rId7">
        <w:r>
          <w:rPr>
            <w:w w:val="110"/>
          </w:rPr>
          <w:t>examinations@nzqa.govt.nz.</w:t>
        </w:r>
      </w:hyperlink>
    </w:p>
    <w:sectPr>
      <w:footerReference w:type="default" r:id="rId50"/>
      <w:pgSz w:w="11910" w:h="16840"/>
      <w:pgMar w:footer="722" w:header="0" w:top="1040" w:bottom="920" w:left="1020" w:right="760"/>
      <w:pgNumType w:start="5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39.559998pt;margin-top:787.764221pt;width:9.550pt;height:13.05pt;mso-position-horizontal-relative:page;mso-position-vertical-relative:page;z-index:-99352" type="#_x0000_t202" filled="false" stroked="false">
          <v:textbox inset="0,0,0,0">
            <w:txbxContent>
              <w:p>
                <w:pPr>
                  <w:spacing w:before="10"/>
                  <w:ind w:left="40" w:right="0" w:firstLine="0"/>
                  <w:jc w:val="left"/>
                  <w:rPr>
                    <w:sz w:val="20"/>
                  </w:rPr>
                </w:pPr>
                <w:r>
                  <w:rPr/>
                  <w:fldChar w:fldCharType="begin"/>
                </w:r>
                <w:r>
                  <w:rPr>
                    <w:w w:val="110"/>
                    <w:sz w:val="20"/>
                  </w:rPr>
                  <w:instrText> PAGE </w:instrText>
                </w:r>
                <w:r>
                  <w:rPr/>
                  <w:fldChar w:fldCharType="separate"/>
                </w:r>
                <w:r>
                  <w:rPr/>
                  <w:t>2</w:t>
                </w:r>
                <w:r>
                  <w:rPr/>
                  <w:fldChar w:fldCharType="end"/>
                </w:r>
              </w:p>
            </w:txbxContent>
          </v:textbox>
          <w10:wrap type="none"/>
        </v:shape>
      </w:pict>
    </w:r>
    <w:r>
      <w:rPr/>
      <w:pict>
        <v:shape style="position:absolute;margin-left:55.639999pt;margin-top:788.499634pt;width:189.65pt;height:12pt;mso-position-horizontal-relative:page;mso-position-vertical-relative:page;z-index:-99328" type="#_x0000_t202" filled="false" stroked="false">
          <v:textbox inset="0,0,0,0">
            <w:txbxContent>
              <w:p>
                <w:pPr>
                  <w:spacing w:before="12"/>
                  <w:ind w:left="20" w:right="0" w:firstLine="0"/>
                  <w:jc w:val="left"/>
                  <w:rPr>
                    <w:sz w:val="18"/>
                  </w:rPr>
                </w:pPr>
                <w:r>
                  <w:rPr>
                    <w:w w:val="105"/>
                    <w:sz w:val="18"/>
                  </w:rPr>
                  <w:t>NCEA DVC Guide Notes and Instructions 2019</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559998pt;margin-top:787.764221pt;width:15.05pt;height:13.05pt;mso-position-horizontal-relative:page;mso-position-vertical-relative:page;z-index:-99304" type="#_x0000_t202" filled="false" stroked="false">
          <v:textbox inset="0,0,0,0">
            <w:txbxContent>
              <w:p>
                <w:pPr>
                  <w:spacing w:before="10"/>
                  <w:ind w:left="40" w:right="0" w:firstLine="0"/>
                  <w:jc w:val="left"/>
                  <w:rPr>
                    <w:sz w:val="20"/>
                  </w:rPr>
                </w:pPr>
                <w:r>
                  <w:rPr/>
                  <w:fldChar w:fldCharType="begin"/>
                </w:r>
                <w:r>
                  <w:rPr>
                    <w:w w:val="110"/>
                    <w:sz w:val="20"/>
                  </w:rPr>
                  <w:instrText> PAGE </w:instrText>
                </w:r>
                <w:r>
                  <w:rPr/>
                  <w:fldChar w:fldCharType="separate"/>
                </w:r>
                <w:r>
                  <w:rPr/>
                  <w:t>10</w:t>
                </w:r>
                <w:r>
                  <w:rPr/>
                  <w:fldChar w:fldCharType="end"/>
                </w:r>
              </w:p>
            </w:txbxContent>
          </v:textbox>
          <w10:wrap type="none"/>
        </v:shape>
      </w:pict>
    </w:r>
    <w:r>
      <w:rPr/>
      <w:pict>
        <v:shape style="position:absolute;margin-left:55.639999pt;margin-top:788.499634pt;width:189.65pt;height:12pt;mso-position-horizontal-relative:page;mso-position-vertical-relative:page;z-index:-99280" type="#_x0000_t202" filled="false" stroked="false">
          <v:textbox inset="0,0,0,0">
            <w:txbxContent>
              <w:p>
                <w:pPr>
                  <w:spacing w:before="12"/>
                  <w:ind w:left="20" w:right="0" w:firstLine="0"/>
                  <w:jc w:val="left"/>
                  <w:rPr>
                    <w:sz w:val="18"/>
                  </w:rPr>
                </w:pPr>
                <w:r>
                  <w:rPr>
                    <w:w w:val="105"/>
                    <w:sz w:val="18"/>
                  </w:rPr>
                  <w:t>NCEA DVC Guide Notes and Instructions 2019</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559998pt;margin-top:787.764221pt;width:15.05pt;height:13.05pt;mso-position-horizontal-relative:page;mso-position-vertical-relative:page;z-index:-99256" type="#_x0000_t202" filled="false" stroked="false">
          <v:textbox inset="0,0,0,0">
            <w:txbxContent>
              <w:p>
                <w:pPr>
                  <w:spacing w:before="10"/>
                  <w:ind w:left="40" w:right="0" w:firstLine="0"/>
                  <w:jc w:val="left"/>
                  <w:rPr>
                    <w:sz w:val="20"/>
                  </w:rPr>
                </w:pPr>
                <w:r>
                  <w:rPr/>
                  <w:fldChar w:fldCharType="begin"/>
                </w:r>
                <w:r>
                  <w:rPr>
                    <w:w w:val="110"/>
                    <w:sz w:val="20"/>
                  </w:rPr>
                  <w:instrText> PAGE </w:instrText>
                </w:r>
                <w:r>
                  <w:rPr/>
                  <w:fldChar w:fldCharType="separate"/>
                </w:r>
                <w:r>
                  <w:rPr/>
                  <w:t>20</w:t>
                </w:r>
                <w:r>
                  <w:rPr/>
                  <w:fldChar w:fldCharType="end"/>
                </w:r>
              </w:p>
            </w:txbxContent>
          </v:textbox>
          <w10:wrap type="none"/>
        </v:shape>
      </w:pict>
    </w:r>
    <w:r>
      <w:rPr/>
      <w:pict>
        <v:shape style="position:absolute;margin-left:55.639999pt;margin-top:788.499634pt;width:189.65pt;height:12pt;mso-position-horizontal-relative:page;mso-position-vertical-relative:page;z-index:-99232" type="#_x0000_t202" filled="false" stroked="false">
          <v:textbox inset="0,0,0,0">
            <w:txbxContent>
              <w:p>
                <w:pPr>
                  <w:spacing w:before="12"/>
                  <w:ind w:left="20" w:right="0" w:firstLine="0"/>
                  <w:jc w:val="left"/>
                  <w:rPr>
                    <w:sz w:val="18"/>
                  </w:rPr>
                </w:pPr>
                <w:r>
                  <w:rPr>
                    <w:w w:val="105"/>
                    <w:sz w:val="18"/>
                  </w:rPr>
                  <w:t>NCEA DVC Guide Notes and Instructions 2019</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559998pt;margin-top:816.084229pt;width:15.05pt;height:13.05pt;mso-position-horizontal-relative:page;mso-position-vertical-relative:page;z-index:-99208" type="#_x0000_t202" filled="false" stroked="false">
          <v:textbox inset="0,0,0,0">
            <w:txbxContent>
              <w:p>
                <w:pPr>
                  <w:spacing w:before="10"/>
                  <w:ind w:left="40" w:right="0" w:firstLine="0"/>
                  <w:jc w:val="left"/>
                  <w:rPr>
                    <w:sz w:val="20"/>
                  </w:rPr>
                </w:pPr>
                <w:r>
                  <w:rPr/>
                  <w:fldChar w:fldCharType="begin"/>
                </w:r>
                <w:r>
                  <w:rPr>
                    <w:w w:val="110"/>
                    <w:sz w:val="20"/>
                  </w:rPr>
                  <w:instrText> PAGE </w:instrText>
                </w:r>
                <w:r>
                  <w:rPr/>
                  <w:fldChar w:fldCharType="separate"/>
                </w:r>
                <w:r>
                  <w:rPr/>
                  <w:t>28</w:t>
                </w:r>
                <w:r>
                  <w:rPr/>
                  <w:fldChar w:fldCharType="end"/>
                </w:r>
              </w:p>
            </w:txbxContent>
          </v:textbox>
          <w10:wrap type="none"/>
        </v:shape>
      </w:pict>
    </w:r>
    <w:r>
      <w:rPr/>
      <w:pict>
        <v:shape style="position:absolute;margin-left:55.639999pt;margin-top:816.819641pt;width:189.65pt;height:12pt;mso-position-horizontal-relative:page;mso-position-vertical-relative:page;z-index:-99184" type="#_x0000_t202" filled="false" stroked="false">
          <v:textbox inset="0,0,0,0">
            <w:txbxContent>
              <w:p>
                <w:pPr>
                  <w:spacing w:before="12"/>
                  <w:ind w:left="20" w:right="0" w:firstLine="0"/>
                  <w:jc w:val="left"/>
                  <w:rPr>
                    <w:sz w:val="18"/>
                  </w:rPr>
                </w:pPr>
                <w:r>
                  <w:rPr>
                    <w:w w:val="105"/>
                    <w:sz w:val="18"/>
                  </w:rPr>
                  <w:t>NCEA DVC Guide Notes and Instructions 2019</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559998pt;margin-top:816.084229pt;width:15.05pt;height:13.05pt;mso-position-horizontal-relative:page;mso-position-vertical-relative:page;z-index:-99160" type="#_x0000_t202" filled="false" stroked="false">
          <v:textbox inset="0,0,0,0">
            <w:txbxContent>
              <w:p>
                <w:pPr>
                  <w:spacing w:before="10"/>
                  <w:ind w:left="40" w:right="0" w:firstLine="0"/>
                  <w:jc w:val="left"/>
                  <w:rPr>
                    <w:sz w:val="20"/>
                  </w:rPr>
                </w:pPr>
                <w:r>
                  <w:rPr/>
                  <w:fldChar w:fldCharType="begin"/>
                </w:r>
                <w:r>
                  <w:rPr>
                    <w:w w:val="110"/>
                    <w:sz w:val="20"/>
                  </w:rPr>
                  <w:instrText> PAGE </w:instrText>
                </w:r>
                <w:r>
                  <w:rPr/>
                  <w:fldChar w:fldCharType="separate"/>
                </w:r>
                <w:r>
                  <w:rPr/>
                  <w:t>30</w:t>
                </w:r>
                <w:r>
                  <w:rPr/>
                  <w:fldChar w:fldCharType="end"/>
                </w:r>
              </w:p>
            </w:txbxContent>
          </v:textbox>
          <w10:wrap type="none"/>
        </v:shape>
      </w:pict>
    </w:r>
    <w:r>
      <w:rPr/>
      <w:pict>
        <v:shape style="position:absolute;margin-left:55.639999pt;margin-top:816.819641pt;width:189.65pt;height:12pt;mso-position-horizontal-relative:page;mso-position-vertical-relative:page;z-index:-99136" type="#_x0000_t202" filled="false" stroked="false">
          <v:textbox inset="0,0,0,0">
            <w:txbxContent>
              <w:p>
                <w:pPr>
                  <w:spacing w:before="12"/>
                  <w:ind w:left="20" w:right="0" w:firstLine="0"/>
                  <w:jc w:val="left"/>
                  <w:rPr>
                    <w:sz w:val="18"/>
                  </w:rPr>
                </w:pPr>
                <w:r>
                  <w:rPr>
                    <w:w w:val="105"/>
                    <w:sz w:val="18"/>
                  </w:rPr>
                  <w:t>NCEA DVC Guide Notes and Instructions 2019</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559998pt;margin-top:816.084229pt;width:15.05pt;height:13.05pt;mso-position-horizontal-relative:page;mso-position-vertical-relative:page;z-index:-99112" type="#_x0000_t202" filled="false" stroked="false">
          <v:textbox inset="0,0,0,0">
            <w:txbxContent>
              <w:p>
                <w:pPr>
                  <w:spacing w:before="10"/>
                  <w:ind w:left="40" w:right="0" w:firstLine="0"/>
                  <w:jc w:val="left"/>
                  <w:rPr>
                    <w:sz w:val="20"/>
                  </w:rPr>
                </w:pPr>
                <w:r>
                  <w:rPr/>
                  <w:fldChar w:fldCharType="begin"/>
                </w:r>
                <w:r>
                  <w:rPr>
                    <w:w w:val="110"/>
                    <w:sz w:val="20"/>
                  </w:rPr>
                  <w:instrText> PAGE </w:instrText>
                </w:r>
                <w:r>
                  <w:rPr/>
                  <w:fldChar w:fldCharType="separate"/>
                </w:r>
                <w:r>
                  <w:rPr/>
                  <w:t>40</w:t>
                </w:r>
                <w:r>
                  <w:rPr/>
                  <w:fldChar w:fldCharType="end"/>
                </w:r>
              </w:p>
            </w:txbxContent>
          </v:textbox>
          <w10:wrap type="none"/>
        </v:shape>
      </w:pict>
    </w:r>
    <w:r>
      <w:rPr/>
      <w:pict>
        <v:shape style="position:absolute;margin-left:55.639999pt;margin-top:816.819641pt;width:189.65pt;height:12pt;mso-position-horizontal-relative:page;mso-position-vertical-relative:page;z-index:-99088" type="#_x0000_t202" filled="false" stroked="false">
          <v:textbox inset="0,0,0,0">
            <w:txbxContent>
              <w:p>
                <w:pPr>
                  <w:spacing w:before="12"/>
                  <w:ind w:left="20" w:right="0" w:firstLine="0"/>
                  <w:jc w:val="left"/>
                  <w:rPr>
                    <w:sz w:val="18"/>
                  </w:rPr>
                </w:pPr>
                <w:r>
                  <w:rPr>
                    <w:w w:val="105"/>
                    <w:sz w:val="18"/>
                  </w:rPr>
                  <w:t>NCEA DVC Guide Notes and Instructions 2019</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0.559998pt;margin-top:569.484802pt;width:13.05pt;height:13.05pt;mso-position-horizontal-relative:page;mso-position-vertical-relative:page;z-index:-99064" type="#_x0000_t202" filled="false" stroked="false">
          <v:textbox inset="0,0,0,0">
            <w:txbxContent>
              <w:p>
                <w:pPr>
                  <w:spacing w:before="10"/>
                  <w:ind w:left="20" w:right="0" w:firstLine="0"/>
                  <w:jc w:val="left"/>
                  <w:rPr>
                    <w:sz w:val="20"/>
                  </w:rPr>
                </w:pPr>
                <w:r>
                  <w:rPr>
                    <w:w w:val="110"/>
                    <w:sz w:val="20"/>
                  </w:rPr>
                  <w:t>41</w:t>
                </w:r>
              </w:p>
            </w:txbxContent>
          </v:textbox>
          <w10:wrap type="none"/>
        </v:shape>
      </w:pict>
    </w:r>
    <w:r>
      <w:rPr/>
      <w:pict>
        <v:shape style="position:absolute;margin-left:41.599998pt;margin-top:570.220337pt;width:189.65pt;height:12pt;mso-position-horizontal-relative:page;mso-position-vertical-relative:page;z-index:-99040" type="#_x0000_t202" filled="false" stroked="false">
          <v:textbox inset="0,0,0,0">
            <w:txbxContent>
              <w:p>
                <w:pPr>
                  <w:spacing w:before="12"/>
                  <w:ind w:left="20" w:right="0" w:firstLine="0"/>
                  <w:jc w:val="left"/>
                  <w:rPr>
                    <w:sz w:val="18"/>
                  </w:rPr>
                </w:pPr>
                <w:r>
                  <w:rPr>
                    <w:w w:val="105"/>
                    <w:sz w:val="18"/>
                  </w:rPr>
                  <w:t>NCEA DVC Guide Notes and Instructions 2019</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539.559998pt;margin-top:794.844177pt;width:15.05pt;height:13.05pt;mso-position-horizontal-relative:page;mso-position-vertical-relative:page;z-index:-99016" type="#_x0000_t202" filled="false" stroked="false">
          <v:textbox inset="0,0,0,0">
            <w:txbxContent>
              <w:p>
                <w:pPr>
                  <w:spacing w:before="10"/>
                  <w:ind w:left="40" w:right="0" w:firstLine="0"/>
                  <w:jc w:val="left"/>
                  <w:rPr>
                    <w:sz w:val="20"/>
                  </w:rPr>
                </w:pPr>
                <w:r>
                  <w:rPr/>
                  <w:fldChar w:fldCharType="begin"/>
                </w:r>
                <w:r>
                  <w:rPr>
                    <w:w w:val="110"/>
                    <w:sz w:val="20"/>
                  </w:rPr>
                  <w:instrText> PAGE </w:instrText>
                </w:r>
                <w:r>
                  <w:rPr/>
                  <w:fldChar w:fldCharType="separate"/>
                </w:r>
                <w:r>
                  <w:rPr/>
                  <w:t>47</w:t>
                </w:r>
                <w:r>
                  <w:rPr/>
                  <w:fldChar w:fldCharType="end"/>
                </w:r>
              </w:p>
            </w:txbxContent>
          </v:textbox>
          <w10:wrap type="none"/>
        </v:shape>
      </w:pict>
    </w:r>
    <w:r>
      <w:rPr/>
      <w:pict>
        <v:shape style="position:absolute;margin-left:55.639999pt;margin-top:795.579712pt;width:189.65pt;height:12pt;mso-position-horizontal-relative:page;mso-position-vertical-relative:page;z-index:-98992" type="#_x0000_t202" filled="false" stroked="false">
          <v:textbox inset="0,0,0,0">
            <w:txbxContent>
              <w:p>
                <w:pPr>
                  <w:spacing w:before="12"/>
                  <w:ind w:left="20" w:right="0" w:firstLine="0"/>
                  <w:jc w:val="left"/>
                  <w:rPr>
                    <w:sz w:val="18"/>
                  </w:rPr>
                </w:pPr>
                <w:r>
                  <w:rPr>
                    <w:w w:val="105"/>
                    <w:sz w:val="18"/>
                  </w:rPr>
                  <w:t>NCEA DVC Guide Notes and Instructions 2019</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559998pt;margin-top:794.844177pt;width:15.05pt;height:13.05pt;mso-position-horizontal-relative:page;mso-position-vertical-relative:page;z-index:-98968" type="#_x0000_t202" filled="false" stroked="false">
          <v:textbox inset="0,0,0,0">
            <w:txbxContent>
              <w:p>
                <w:pPr>
                  <w:spacing w:before="10"/>
                  <w:ind w:left="40" w:right="0" w:firstLine="0"/>
                  <w:jc w:val="left"/>
                  <w:rPr>
                    <w:sz w:val="20"/>
                  </w:rPr>
                </w:pPr>
                <w:r>
                  <w:rPr/>
                  <w:fldChar w:fldCharType="begin"/>
                </w:r>
                <w:r>
                  <w:rPr>
                    <w:w w:val="110"/>
                    <w:sz w:val="20"/>
                  </w:rPr>
                  <w:instrText> PAGE </w:instrText>
                </w:r>
                <w:r>
                  <w:rPr/>
                  <w:fldChar w:fldCharType="separate"/>
                </w:r>
                <w:r>
                  <w:rPr/>
                  <w:t>50</w:t>
                </w:r>
                <w:r>
                  <w:rPr/>
                  <w:fldChar w:fldCharType="end"/>
                </w:r>
              </w:p>
            </w:txbxContent>
          </v:textbox>
          <w10:wrap type="none"/>
        </v:shape>
      </w:pict>
    </w:r>
    <w:r>
      <w:rPr/>
      <w:pict>
        <v:shape style="position:absolute;margin-left:55.639999pt;margin-top:795.579712pt;width:189.65pt;height:12pt;mso-position-horizontal-relative:page;mso-position-vertical-relative:page;z-index:-98944" type="#_x0000_t202" filled="false" stroked="false">
          <v:textbox inset="0,0,0,0">
            <w:txbxContent>
              <w:p>
                <w:pPr>
                  <w:spacing w:before="12"/>
                  <w:ind w:left="20" w:right="0" w:firstLine="0"/>
                  <w:jc w:val="left"/>
                  <w:rPr>
                    <w:sz w:val="18"/>
                  </w:rPr>
                </w:pPr>
                <w:r>
                  <w:rPr>
                    <w:w w:val="105"/>
                    <w:sz w:val="18"/>
                  </w:rPr>
                  <w:t>NCEA DVC Guide Notes and Instructions 2019</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decimal"/>
      <w:lvlText w:val="%1."/>
      <w:lvlJc w:val="left"/>
      <w:pPr>
        <w:ind w:left="470" w:hanging="358"/>
        <w:jc w:val="left"/>
      </w:pPr>
      <w:rPr>
        <w:rFonts w:hint="default" w:ascii="Times New Roman" w:hAnsi="Times New Roman" w:eastAsia="Times New Roman" w:cs="Times New Roman"/>
        <w:spacing w:val="-2"/>
        <w:w w:val="111"/>
        <w:sz w:val="22"/>
        <w:szCs w:val="22"/>
      </w:rPr>
    </w:lvl>
    <w:lvl w:ilvl="1">
      <w:start w:val="1"/>
      <w:numFmt w:val="decimal"/>
      <w:lvlText w:val="%2."/>
      <w:lvlJc w:val="left"/>
      <w:pPr>
        <w:ind w:left="825" w:hanging="356"/>
        <w:jc w:val="left"/>
      </w:pPr>
      <w:rPr>
        <w:rFonts w:hint="default" w:ascii="Times New Roman" w:hAnsi="Times New Roman" w:eastAsia="Times New Roman" w:cs="Times New Roman"/>
        <w:spacing w:val="-2"/>
        <w:w w:val="111"/>
        <w:sz w:val="22"/>
        <w:szCs w:val="22"/>
      </w:rPr>
    </w:lvl>
    <w:lvl w:ilvl="2">
      <w:start w:val="0"/>
      <w:numFmt w:val="bullet"/>
      <w:lvlText w:val="•"/>
      <w:lvlJc w:val="left"/>
      <w:pPr>
        <w:ind w:left="840" w:hanging="356"/>
      </w:pPr>
      <w:rPr>
        <w:rFonts w:hint="default"/>
      </w:rPr>
    </w:lvl>
    <w:lvl w:ilvl="3">
      <w:start w:val="0"/>
      <w:numFmt w:val="bullet"/>
      <w:lvlText w:val="•"/>
      <w:lvlJc w:val="left"/>
      <w:pPr>
        <w:ind w:left="2000" w:hanging="356"/>
      </w:pPr>
      <w:rPr>
        <w:rFonts w:hint="default"/>
      </w:rPr>
    </w:lvl>
    <w:lvl w:ilvl="4">
      <w:start w:val="0"/>
      <w:numFmt w:val="bullet"/>
      <w:lvlText w:val="•"/>
      <w:lvlJc w:val="left"/>
      <w:pPr>
        <w:ind w:left="3161" w:hanging="356"/>
      </w:pPr>
      <w:rPr>
        <w:rFonts w:hint="default"/>
      </w:rPr>
    </w:lvl>
    <w:lvl w:ilvl="5">
      <w:start w:val="0"/>
      <w:numFmt w:val="bullet"/>
      <w:lvlText w:val="•"/>
      <w:lvlJc w:val="left"/>
      <w:pPr>
        <w:ind w:left="4322" w:hanging="356"/>
      </w:pPr>
      <w:rPr>
        <w:rFonts w:hint="default"/>
      </w:rPr>
    </w:lvl>
    <w:lvl w:ilvl="6">
      <w:start w:val="0"/>
      <w:numFmt w:val="bullet"/>
      <w:lvlText w:val="•"/>
      <w:lvlJc w:val="left"/>
      <w:pPr>
        <w:ind w:left="5483" w:hanging="356"/>
      </w:pPr>
      <w:rPr>
        <w:rFonts w:hint="default"/>
      </w:rPr>
    </w:lvl>
    <w:lvl w:ilvl="7">
      <w:start w:val="0"/>
      <w:numFmt w:val="bullet"/>
      <w:lvlText w:val="•"/>
      <w:lvlJc w:val="left"/>
      <w:pPr>
        <w:ind w:left="6644" w:hanging="356"/>
      </w:pPr>
      <w:rPr>
        <w:rFonts w:hint="default"/>
      </w:rPr>
    </w:lvl>
    <w:lvl w:ilvl="8">
      <w:start w:val="0"/>
      <w:numFmt w:val="bullet"/>
      <w:lvlText w:val="•"/>
      <w:lvlJc w:val="left"/>
      <w:pPr>
        <w:ind w:left="7804" w:hanging="356"/>
      </w:pPr>
      <w:rPr>
        <w:rFonts w:hint="default"/>
      </w:rPr>
    </w:lvl>
  </w:abstractNum>
  <w:abstractNum w:abstractNumId="8">
    <w:multiLevelType w:val="hybridMultilevel"/>
    <w:lvl w:ilvl="0">
      <w:start w:val="0"/>
      <w:numFmt w:val="bullet"/>
      <w:lvlText w:val="□"/>
      <w:lvlJc w:val="left"/>
      <w:pPr>
        <w:ind w:left="1111" w:hanging="360"/>
      </w:pPr>
      <w:rPr>
        <w:rFonts w:hint="default" w:ascii="Times New Roman" w:hAnsi="Times New Roman" w:eastAsia="Times New Roman" w:cs="Times New Roman"/>
        <w:w w:val="76"/>
        <w:sz w:val="22"/>
        <w:szCs w:val="22"/>
      </w:rPr>
    </w:lvl>
    <w:lvl w:ilvl="1">
      <w:start w:val="0"/>
      <w:numFmt w:val="bullet"/>
      <w:lvlText w:val="•"/>
      <w:lvlJc w:val="left"/>
      <w:pPr>
        <w:ind w:left="2066" w:hanging="360"/>
      </w:pPr>
      <w:rPr>
        <w:rFonts w:hint="default"/>
      </w:rPr>
    </w:lvl>
    <w:lvl w:ilvl="2">
      <w:start w:val="0"/>
      <w:numFmt w:val="bullet"/>
      <w:lvlText w:val="•"/>
      <w:lvlJc w:val="left"/>
      <w:pPr>
        <w:ind w:left="3013" w:hanging="360"/>
      </w:pPr>
      <w:rPr>
        <w:rFonts w:hint="default"/>
      </w:rPr>
    </w:lvl>
    <w:lvl w:ilvl="3">
      <w:start w:val="0"/>
      <w:numFmt w:val="bullet"/>
      <w:lvlText w:val="•"/>
      <w:lvlJc w:val="left"/>
      <w:pPr>
        <w:ind w:left="3959" w:hanging="360"/>
      </w:pPr>
      <w:rPr>
        <w:rFonts w:hint="default"/>
      </w:rPr>
    </w:lvl>
    <w:lvl w:ilvl="4">
      <w:start w:val="0"/>
      <w:numFmt w:val="bullet"/>
      <w:lvlText w:val="•"/>
      <w:lvlJc w:val="left"/>
      <w:pPr>
        <w:ind w:left="4906" w:hanging="360"/>
      </w:pPr>
      <w:rPr>
        <w:rFonts w:hint="default"/>
      </w:rPr>
    </w:lvl>
    <w:lvl w:ilvl="5">
      <w:start w:val="0"/>
      <w:numFmt w:val="bullet"/>
      <w:lvlText w:val="•"/>
      <w:lvlJc w:val="left"/>
      <w:pPr>
        <w:ind w:left="5853" w:hanging="360"/>
      </w:pPr>
      <w:rPr>
        <w:rFonts w:hint="default"/>
      </w:rPr>
    </w:lvl>
    <w:lvl w:ilvl="6">
      <w:start w:val="0"/>
      <w:numFmt w:val="bullet"/>
      <w:lvlText w:val="•"/>
      <w:lvlJc w:val="left"/>
      <w:pPr>
        <w:ind w:left="6799" w:hanging="360"/>
      </w:pPr>
      <w:rPr>
        <w:rFonts w:hint="default"/>
      </w:rPr>
    </w:lvl>
    <w:lvl w:ilvl="7">
      <w:start w:val="0"/>
      <w:numFmt w:val="bullet"/>
      <w:lvlText w:val="•"/>
      <w:lvlJc w:val="left"/>
      <w:pPr>
        <w:ind w:left="7746" w:hanging="360"/>
      </w:pPr>
      <w:rPr>
        <w:rFonts w:hint="default"/>
      </w:rPr>
    </w:lvl>
    <w:lvl w:ilvl="8">
      <w:start w:val="0"/>
      <w:numFmt w:val="bullet"/>
      <w:lvlText w:val="•"/>
      <w:lvlJc w:val="left"/>
      <w:pPr>
        <w:ind w:left="8693" w:hanging="360"/>
      </w:pPr>
      <w:rPr>
        <w:rFonts w:hint="default"/>
      </w:rPr>
    </w:lvl>
  </w:abstractNum>
  <w:abstractNum w:abstractNumId="7">
    <w:multiLevelType w:val="hybridMultilevel"/>
    <w:lvl w:ilvl="0">
      <w:start w:val="1"/>
      <w:numFmt w:val="upperLetter"/>
      <w:lvlText w:val="%1."/>
      <w:lvlJc w:val="left"/>
      <w:pPr>
        <w:ind w:left="1101" w:hanging="709"/>
        <w:jc w:val="left"/>
      </w:pPr>
      <w:rPr>
        <w:rFonts w:hint="default" w:ascii="Times New Roman" w:hAnsi="Times New Roman" w:eastAsia="Times New Roman" w:cs="Times New Roman"/>
        <w:spacing w:val="-5"/>
        <w:w w:val="100"/>
        <w:sz w:val="22"/>
        <w:szCs w:val="22"/>
      </w:rPr>
    </w:lvl>
    <w:lvl w:ilvl="1">
      <w:start w:val="0"/>
      <w:numFmt w:val="bullet"/>
      <w:lvlText w:val="•"/>
      <w:lvlJc w:val="left"/>
      <w:pPr>
        <w:ind w:left="2048" w:hanging="709"/>
      </w:pPr>
      <w:rPr>
        <w:rFonts w:hint="default"/>
      </w:rPr>
    </w:lvl>
    <w:lvl w:ilvl="2">
      <w:start w:val="0"/>
      <w:numFmt w:val="bullet"/>
      <w:lvlText w:val="•"/>
      <w:lvlJc w:val="left"/>
      <w:pPr>
        <w:ind w:left="2997" w:hanging="709"/>
      </w:pPr>
      <w:rPr>
        <w:rFonts w:hint="default"/>
      </w:rPr>
    </w:lvl>
    <w:lvl w:ilvl="3">
      <w:start w:val="0"/>
      <w:numFmt w:val="bullet"/>
      <w:lvlText w:val="•"/>
      <w:lvlJc w:val="left"/>
      <w:pPr>
        <w:ind w:left="3945" w:hanging="709"/>
      </w:pPr>
      <w:rPr>
        <w:rFonts w:hint="default"/>
      </w:rPr>
    </w:lvl>
    <w:lvl w:ilvl="4">
      <w:start w:val="0"/>
      <w:numFmt w:val="bullet"/>
      <w:lvlText w:val="•"/>
      <w:lvlJc w:val="left"/>
      <w:pPr>
        <w:ind w:left="4894" w:hanging="709"/>
      </w:pPr>
      <w:rPr>
        <w:rFonts w:hint="default"/>
      </w:rPr>
    </w:lvl>
    <w:lvl w:ilvl="5">
      <w:start w:val="0"/>
      <w:numFmt w:val="bullet"/>
      <w:lvlText w:val="•"/>
      <w:lvlJc w:val="left"/>
      <w:pPr>
        <w:ind w:left="5843" w:hanging="709"/>
      </w:pPr>
      <w:rPr>
        <w:rFonts w:hint="default"/>
      </w:rPr>
    </w:lvl>
    <w:lvl w:ilvl="6">
      <w:start w:val="0"/>
      <w:numFmt w:val="bullet"/>
      <w:lvlText w:val="•"/>
      <w:lvlJc w:val="left"/>
      <w:pPr>
        <w:ind w:left="6791" w:hanging="709"/>
      </w:pPr>
      <w:rPr>
        <w:rFonts w:hint="default"/>
      </w:rPr>
    </w:lvl>
    <w:lvl w:ilvl="7">
      <w:start w:val="0"/>
      <w:numFmt w:val="bullet"/>
      <w:lvlText w:val="•"/>
      <w:lvlJc w:val="left"/>
      <w:pPr>
        <w:ind w:left="7740" w:hanging="709"/>
      </w:pPr>
      <w:rPr>
        <w:rFonts w:hint="default"/>
      </w:rPr>
    </w:lvl>
    <w:lvl w:ilvl="8">
      <w:start w:val="0"/>
      <w:numFmt w:val="bullet"/>
      <w:lvlText w:val="•"/>
      <w:lvlJc w:val="left"/>
      <w:pPr>
        <w:ind w:left="8689" w:hanging="709"/>
      </w:pPr>
      <w:rPr>
        <w:rFonts w:hint="default"/>
      </w:rPr>
    </w:lvl>
  </w:abstractNum>
  <w:abstractNum w:abstractNumId="6">
    <w:multiLevelType w:val="hybridMultilevel"/>
    <w:lvl w:ilvl="0">
      <w:start w:val="1"/>
      <w:numFmt w:val="decimal"/>
      <w:lvlText w:val="%1"/>
      <w:lvlJc w:val="left"/>
      <w:pPr>
        <w:ind w:left="750" w:hanging="358"/>
        <w:jc w:val="left"/>
      </w:pPr>
      <w:rPr>
        <w:rFonts w:hint="default" w:ascii="Times New Roman" w:hAnsi="Times New Roman" w:eastAsia="Times New Roman" w:cs="Times New Roman"/>
        <w:w w:val="111"/>
        <w:sz w:val="22"/>
        <w:szCs w:val="22"/>
      </w:rPr>
    </w:lvl>
    <w:lvl w:ilvl="1">
      <w:start w:val="0"/>
      <w:numFmt w:val="bullet"/>
      <w:lvlText w:val="•"/>
      <w:lvlJc w:val="left"/>
      <w:pPr>
        <w:ind w:left="1742" w:hanging="358"/>
      </w:pPr>
      <w:rPr>
        <w:rFonts w:hint="default"/>
      </w:rPr>
    </w:lvl>
    <w:lvl w:ilvl="2">
      <w:start w:val="0"/>
      <w:numFmt w:val="bullet"/>
      <w:lvlText w:val="•"/>
      <w:lvlJc w:val="left"/>
      <w:pPr>
        <w:ind w:left="2725" w:hanging="358"/>
      </w:pPr>
      <w:rPr>
        <w:rFonts w:hint="default"/>
      </w:rPr>
    </w:lvl>
    <w:lvl w:ilvl="3">
      <w:start w:val="0"/>
      <w:numFmt w:val="bullet"/>
      <w:lvlText w:val="•"/>
      <w:lvlJc w:val="left"/>
      <w:pPr>
        <w:ind w:left="3707" w:hanging="358"/>
      </w:pPr>
      <w:rPr>
        <w:rFonts w:hint="default"/>
      </w:rPr>
    </w:lvl>
    <w:lvl w:ilvl="4">
      <w:start w:val="0"/>
      <w:numFmt w:val="bullet"/>
      <w:lvlText w:val="•"/>
      <w:lvlJc w:val="left"/>
      <w:pPr>
        <w:ind w:left="4690" w:hanging="358"/>
      </w:pPr>
      <w:rPr>
        <w:rFonts w:hint="default"/>
      </w:rPr>
    </w:lvl>
    <w:lvl w:ilvl="5">
      <w:start w:val="0"/>
      <w:numFmt w:val="bullet"/>
      <w:lvlText w:val="•"/>
      <w:lvlJc w:val="left"/>
      <w:pPr>
        <w:ind w:left="5673" w:hanging="358"/>
      </w:pPr>
      <w:rPr>
        <w:rFonts w:hint="default"/>
      </w:rPr>
    </w:lvl>
    <w:lvl w:ilvl="6">
      <w:start w:val="0"/>
      <w:numFmt w:val="bullet"/>
      <w:lvlText w:val="•"/>
      <w:lvlJc w:val="left"/>
      <w:pPr>
        <w:ind w:left="6655" w:hanging="358"/>
      </w:pPr>
      <w:rPr>
        <w:rFonts w:hint="default"/>
      </w:rPr>
    </w:lvl>
    <w:lvl w:ilvl="7">
      <w:start w:val="0"/>
      <w:numFmt w:val="bullet"/>
      <w:lvlText w:val="•"/>
      <w:lvlJc w:val="left"/>
      <w:pPr>
        <w:ind w:left="7638" w:hanging="358"/>
      </w:pPr>
      <w:rPr>
        <w:rFonts w:hint="default"/>
      </w:rPr>
    </w:lvl>
    <w:lvl w:ilvl="8">
      <w:start w:val="0"/>
      <w:numFmt w:val="bullet"/>
      <w:lvlText w:val="•"/>
      <w:lvlJc w:val="left"/>
      <w:pPr>
        <w:ind w:left="8621" w:hanging="358"/>
      </w:pPr>
      <w:rPr>
        <w:rFonts w:hint="default"/>
      </w:rPr>
    </w:lvl>
  </w:abstractNum>
  <w:abstractNum w:abstractNumId="5">
    <w:multiLevelType w:val="hybridMultilevel"/>
    <w:lvl w:ilvl="0">
      <w:start w:val="0"/>
      <w:numFmt w:val="bullet"/>
      <w:lvlText w:val="□"/>
      <w:lvlJc w:val="left"/>
      <w:pPr>
        <w:ind w:left="1112" w:hanging="360"/>
      </w:pPr>
      <w:rPr>
        <w:rFonts w:hint="default" w:ascii="Times New Roman" w:hAnsi="Times New Roman" w:eastAsia="Times New Roman" w:cs="Times New Roman"/>
        <w:w w:val="76"/>
        <w:sz w:val="22"/>
        <w:szCs w:val="22"/>
      </w:rPr>
    </w:lvl>
    <w:lvl w:ilvl="1">
      <w:start w:val="0"/>
      <w:numFmt w:val="bullet"/>
      <w:lvlText w:val="•"/>
      <w:lvlJc w:val="left"/>
      <w:pPr>
        <w:ind w:left="2066" w:hanging="360"/>
      </w:pPr>
      <w:rPr>
        <w:rFonts w:hint="default"/>
      </w:rPr>
    </w:lvl>
    <w:lvl w:ilvl="2">
      <w:start w:val="0"/>
      <w:numFmt w:val="bullet"/>
      <w:lvlText w:val="•"/>
      <w:lvlJc w:val="left"/>
      <w:pPr>
        <w:ind w:left="3013" w:hanging="360"/>
      </w:pPr>
      <w:rPr>
        <w:rFonts w:hint="default"/>
      </w:rPr>
    </w:lvl>
    <w:lvl w:ilvl="3">
      <w:start w:val="0"/>
      <w:numFmt w:val="bullet"/>
      <w:lvlText w:val="•"/>
      <w:lvlJc w:val="left"/>
      <w:pPr>
        <w:ind w:left="3959" w:hanging="360"/>
      </w:pPr>
      <w:rPr>
        <w:rFonts w:hint="default"/>
      </w:rPr>
    </w:lvl>
    <w:lvl w:ilvl="4">
      <w:start w:val="0"/>
      <w:numFmt w:val="bullet"/>
      <w:lvlText w:val="•"/>
      <w:lvlJc w:val="left"/>
      <w:pPr>
        <w:ind w:left="4906" w:hanging="360"/>
      </w:pPr>
      <w:rPr>
        <w:rFonts w:hint="default"/>
      </w:rPr>
    </w:lvl>
    <w:lvl w:ilvl="5">
      <w:start w:val="0"/>
      <w:numFmt w:val="bullet"/>
      <w:lvlText w:val="•"/>
      <w:lvlJc w:val="left"/>
      <w:pPr>
        <w:ind w:left="5853" w:hanging="360"/>
      </w:pPr>
      <w:rPr>
        <w:rFonts w:hint="default"/>
      </w:rPr>
    </w:lvl>
    <w:lvl w:ilvl="6">
      <w:start w:val="0"/>
      <w:numFmt w:val="bullet"/>
      <w:lvlText w:val="•"/>
      <w:lvlJc w:val="left"/>
      <w:pPr>
        <w:ind w:left="6799" w:hanging="360"/>
      </w:pPr>
      <w:rPr>
        <w:rFonts w:hint="default"/>
      </w:rPr>
    </w:lvl>
    <w:lvl w:ilvl="7">
      <w:start w:val="0"/>
      <w:numFmt w:val="bullet"/>
      <w:lvlText w:val="•"/>
      <w:lvlJc w:val="left"/>
      <w:pPr>
        <w:ind w:left="7746" w:hanging="360"/>
      </w:pPr>
      <w:rPr>
        <w:rFonts w:hint="default"/>
      </w:rPr>
    </w:lvl>
    <w:lvl w:ilvl="8">
      <w:start w:val="0"/>
      <w:numFmt w:val="bullet"/>
      <w:lvlText w:val="•"/>
      <w:lvlJc w:val="left"/>
      <w:pPr>
        <w:ind w:left="8693" w:hanging="360"/>
      </w:pPr>
      <w:rPr>
        <w:rFonts w:hint="default"/>
      </w:rPr>
    </w:lvl>
  </w:abstractNum>
  <w:abstractNum w:abstractNumId="4">
    <w:multiLevelType w:val="hybridMultilevel"/>
    <w:lvl w:ilvl="0">
      <w:start w:val="0"/>
      <w:numFmt w:val="bullet"/>
      <w:lvlText w:val="□"/>
      <w:lvlJc w:val="left"/>
      <w:pPr>
        <w:ind w:left="1111" w:hanging="360"/>
      </w:pPr>
      <w:rPr>
        <w:rFonts w:hint="default" w:ascii="Times New Roman" w:hAnsi="Times New Roman" w:eastAsia="Times New Roman" w:cs="Times New Roman"/>
        <w:w w:val="76"/>
        <w:sz w:val="22"/>
        <w:szCs w:val="22"/>
      </w:rPr>
    </w:lvl>
    <w:lvl w:ilvl="1">
      <w:start w:val="0"/>
      <w:numFmt w:val="bullet"/>
      <w:lvlText w:val="•"/>
      <w:lvlJc w:val="left"/>
      <w:pPr>
        <w:ind w:left="2066" w:hanging="360"/>
      </w:pPr>
      <w:rPr>
        <w:rFonts w:hint="default"/>
      </w:rPr>
    </w:lvl>
    <w:lvl w:ilvl="2">
      <w:start w:val="0"/>
      <w:numFmt w:val="bullet"/>
      <w:lvlText w:val="•"/>
      <w:lvlJc w:val="left"/>
      <w:pPr>
        <w:ind w:left="3013" w:hanging="360"/>
      </w:pPr>
      <w:rPr>
        <w:rFonts w:hint="default"/>
      </w:rPr>
    </w:lvl>
    <w:lvl w:ilvl="3">
      <w:start w:val="0"/>
      <w:numFmt w:val="bullet"/>
      <w:lvlText w:val="•"/>
      <w:lvlJc w:val="left"/>
      <w:pPr>
        <w:ind w:left="3959" w:hanging="360"/>
      </w:pPr>
      <w:rPr>
        <w:rFonts w:hint="default"/>
      </w:rPr>
    </w:lvl>
    <w:lvl w:ilvl="4">
      <w:start w:val="0"/>
      <w:numFmt w:val="bullet"/>
      <w:lvlText w:val="•"/>
      <w:lvlJc w:val="left"/>
      <w:pPr>
        <w:ind w:left="4906" w:hanging="360"/>
      </w:pPr>
      <w:rPr>
        <w:rFonts w:hint="default"/>
      </w:rPr>
    </w:lvl>
    <w:lvl w:ilvl="5">
      <w:start w:val="0"/>
      <w:numFmt w:val="bullet"/>
      <w:lvlText w:val="•"/>
      <w:lvlJc w:val="left"/>
      <w:pPr>
        <w:ind w:left="5853" w:hanging="360"/>
      </w:pPr>
      <w:rPr>
        <w:rFonts w:hint="default"/>
      </w:rPr>
    </w:lvl>
    <w:lvl w:ilvl="6">
      <w:start w:val="0"/>
      <w:numFmt w:val="bullet"/>
      <w:lvlText w:val="•"/>
      <w:lvlJc w:val="left"/>
      <w:pPr>
        <w:ind w:left="6799" w:hanging="360"/>
      </w:pPr>
      <w:rPr>
        <w:rFonts w:hint="default"/>
      </w:rPr>
    </w:lvl>
    <w:lvl w:ilvl="7">
      <w:start w:val="0"/>
      <w:numFmt w:val="bullet"/>
      <w:lvlText w:val="•"/>
      <w:lvlJc w:val="left"/>
      <w:pPr>
        <w:ind w:left="7746" w:hanging="360"/>
      </w:pPr>
      <w:rPr>
        <w:rFonts w:hint="default"/>
      </w:rPr>
    </w:lvl>
    <w:lvl w:ilvl="8">
      <w:start w:val="0"/>
      <w:numFmt w:val="bullet"/>
      <w:lvlText w:val="•"/>
      <w:lvlJc w:val="left"/>
      <w:pPr>
        <w:ind w:left="8693" w:hanging="360"/>
      </w:pPr>
      <w:rPr>
        <w:rFonts w:hint="default"/>
      </w:rPr>
    </w:lvl>
  </w:abstractNum>
  <w:abstractNum w:abstractNumId="3">
    <w:multiLevelType w:val="hybridMultilevel"/>
    <w:lvl w:ilvl="0">
      <w:start w:val="0"/>
      <w:numFmt w:val="bullet"/>
      <w:lvlText w:val="□"/>
      <w:lvlJc w:val="left"/>
      <w:pPr>
        <w:ind w:left="1111" w:hanging="360"/>
      </w:pPr>
      <w:rPr>
        <w:rFonts w:hint="default" w:ascii="Times New Roman" w:hAnsi="Times New Roman" w:eastAsia="Times New Roman" w:cs="Times New Roman"/>
        <w:w w:val="76"/>
        <w:sz w:val="22"/>
        <w:szCs w:val="22"/>
      </w:rPr>
    </w:lvl>
    <w:lvl w:ilvl="1">
      <w:start w:val="0"/>
      <w:numFmt w:val="bullet"/>
      <w:lvlText w:val="•"/>
      <w:lvlJc w:val="left"/>
      <w:pPr>
        <w:ind w:left="2066" w:hanging="360"/>
      </w:pPr>
      <w:rPr>
        <w:rFonts w:hint="default"/>
      </w:rPr>
    </w:lvl>
    <w:lvl w:ilvl="2">
      <w:start w:val="0"/>
      <w:numFmt w:val="bullet"/>
      <w:lvlText w:val="•"/>
      <w:lvlJc w:val="left"/>
      <w:pPr>
        <w:ind w:left="3013" w:hanging="360"/>
      </w:pPr>
      <w:rPr>
        <w:rFonts w:hint="default"/>
      </w:rPr>
    </w:lvl>
    <w:lvl w:ilvl="3">
      <w:start w:val="0"/>
      <w:numFmt w:val="bullet"/>
      <w:lvlText w:val="•"/>
      <w:lvlJc w:val="left"/>
      <w:pPr>
        <w:ind w:left="3959" w:hanging="360"/>
      </w:pPr>
      <w:rPr>
        <w:rFonts w:hint="default"/>
      </w:rPr>
    </w:lvl>
    <w:lvl w:ilvl="4">
      <w:start w:val="0"/>
      <w:numFmt w:val="bullet"/>
      <w:lvlText w:val="•"/>
      <w:lvlJc w:val="left"/>
      <w:pPr>
        <w:ind w:left="4906" w:hanging="360"/>
      </w:pPr>
      <w:rPr>
        <w:rFonts w:hint="default"/>
      </w:rPr>
    </w:lvl>
    <w:lvl w:ilvl="5">
      <w:start w:val="0"/>
      <w:numFmt w:val="bullet"/>
      <w:lvlText w:val="•"/>
      <w:lvlJc w:val="left"/>
      <w:pPr>
        <w:ind w:left="5853" w:hanging="360"/>
      </w:pPr>
      <w:rPr>
        <w:rFonts w:hint="default"/>
      </w:rPr>
    </w:lvl>
    <w:lvl w:ilvl="6">
      <w:start w:val="0"/>
      <w:numFmt w:val="bullet"/>
      <w:lvlText w:val="•"/>
      <w:lvlJc w:val="left"/>
      <w:pPr>
        <w:ind w:left="6799" w:hanging="360"/>
      </w:pPr>
      <w:rPr>
        <w:rFonts w:hint="default"/>
      </w:rPr>
    </w:lvl>
    <w:lvl w:ilvl="7">
      <w:start w:val="0"/>
      <w:numFmt w:val="bullet"/>
      <w:lvlText w:val="•"/>
      <w:lvlJc w:val="left"/>
      <w:pPr>
        <w:ind w:left="7746" w:hanging="360"/>
      </w:pPr>
      <w:rPr>
        <w:rFonts w:hint="default"/>
      </w:rPr>
    </w:lvl>
    <w:lvl w:ilvl="8">
      <w:start w:val="0"/>
      <w:numFmt w:val="bullet"/>
      <w:lvlText w:val="•"/>
      <w:lvlJc w:val="left"/>
      <w:pPr>
        <w:ind w:left="8693" w:hanging="360"/>
      </w:pPr>
      <w:rPr>
        <w:rFonts w:hint="default"/>
      </w:rPr>
    </w:lvl>
  </w:abstractNum>
  <w:abstractNum w:abstractNumId="2">
    <w:multiLevelType w:val="hybridMultilevel"/>
    <w:lvl w:ilvl="0">
      <w:start w:val="1"/>
      <w:numFmt w:val="upperLetter"/>
      <w:lvlText w:val="%1."/>
      <w:lvlJc w:val="left"/>
      <w:pPr>
        <w:ind w:left="738" w:hanging="346"/>
        <w:jc w:val="left"/>
      </w:pPr>
      <w:rPr>
        <w:rFonts w:hint="default" w:ascii="Times New Roman" w:hAnsi="Times New Roman" w:eastAsia="Times New Roman" w:cs="Times New Roman"/>
        <w:spacing w:val="-5"/>
        <w:w w:val="100"/>
        <w:sz w:val="22"/>
        <w:szCs w:val="22"/>
      </w:rPr>
    </w:lvl>
    <w:lvl w:ilvl="1">
      <w:start w:val="0"/>
      <w:numFmt w:val="bullet"/>
      <w:lvlText w:val="•"/>
      <w:lvlJc w:val="left"/>
      <w:pPr>
        <w:ind w:left="1724" w:hanging="346"/>
      </w:pPr>
      <w:rPr>
        <w:rFonts w:hint="default"/>
      </w:rPr>
    </w:lvl>
    <w:lvl w:ilvl="2">
      <w:start w:val="0"/>
      <w:numFmt w:val="bullet"/>
      <w:lvlText w:val="•"/>
      <w:lvlJc w:val="left"/>
      <w:pPr>
        <w:ind w:left="2709" w:hanging="346"/>
      </w:pPr>
      <w:rPr>
        <w:rFonts w:hint="default"/>
      </w:rPr>
    </w:lvl>
    <w:lvl w:ilvl="3">
      <w:start w:val="0"/>
      <w:numFmt w:val="bullet"/>
      <w:lvlText w:val="•"/>
      <w:lvlJc w:val="left"/>
      <w:pPr>
        <w:ind w:left="3693" w:hanging="346"/>
      </w:pPr>
      <w:rPr>
        <w:rFonts w:hint="default"/>
      </w:rPr>
    </w:lvl>
    <w:lvl w:ilvl="4">
      <w:start w:val="0"/>
      <w:numFmt w:val="bullet"/>
      <w:lvlText w:val="•"/>
      <w:lvlJc w:val="left"/>
      <w:pPr>
        <w:ind w:left="4678" w:hanging="346"/>
      </w:pPr>
      <w:rPr>
        <w:rFonts w:hint="default"/>
      </w:rPr>
    </w:lvl>
    <w:lvl w:ilvl="5">
      <w:start w:val="0"/>
      <w:numFmt w:val="bullet"/>
      <w:lvlText w:val="•"/>
      <w:lvlJc w:val="left"/>
      <w:pPr>
        <w:ind w:left="5663" w:hanging="346"/>
      </w:pPr>
      <w:rPr>
        <w:rFonts w:hint="default"/>
      </w:rPr>
    </w:lvl>
    <w:lvl w:ilvl="6">
      <w:start w:val="0"/>
      <w:numFmt w:val="bullet"/>
      <w:lvlText w:val="•"/>
      <w:lvlJc w:val="left"/>
      <w:pPr>
        <w:ind w:left="6647" w:hanging="346"/>
      </w:pPr>
      <w:rPr>
        <w:rFonts w:hint="default"/>
      </w:rPr>
    </w:lvl>
    <w:lvl w:ilvl="7">
      <w:start w:val="0"/>
      <w:numFmt w:val="bullet"/>
      <w:lvlText w:val="•"/>
      <w:lvlJc w:val="left"/>
      <w:pPr>
        <w:ind w:left="7632" w:hanging="346"/>
      </w:pPr>
      <w:rPr>
        <w:rFonts w:hint="default"/>
      </w:rPr>
    </w:lvl>
    <w:lvl w:ilvl="8">
      <w:start w:val="0"/>
      <w:numFmt w:val="bullet"/>
      <w:lvlText w:val="•"/>
      <w:lvlJc w:val="left"/>
      <w:pPr>
        <w:ind w:left="8617" w:hanging="346"/>
      </w:pPr>
      <w:rPr>
        <w:rFonts w:hint="default"/>
      </w:rPr>
    </w:lvl>
  </w:abstractNum>
  <w:abstractNum w:abstractNumId="1">
    <w:multiLevelType w:val="hybridMultilevel"/>
    <w:lvl w:ilvl="0">
      <w:start w:val="0"/>
      <w:numFmt w:val="bullet"/>
      <w:lvlText w:val="□"/>
      <w:lvlJc w:val="left"/>
      <w:pPr>
        <w:ind w:left="750" w:hanging="357"/>
      </w:pPr>
      <w:rPr>
        <w:rFonts w:hint="default" w:ascii="Times New Roman" w:hAnsi="Times New Roman" w:eastAsia="Times New Roman" w:cs="Times New Roman"/>
        <w:w w:val="76"/>
        <w:sz w:val="22"/>
        <w:szCs w:val="22"/>
      </w:rPr>
    </w:lvl>
    <w:lvl w:ilvl="1">
      <w:start w:val="0"/>
      <w:numFmt w:val="bullet"/>
      <w:lvlText w:val="o"/>
      <w:lvlJc w:val="left"/>
      <w:pPr>
        <w:ind w:left="1470" w:hanging="358"/>
      </w:pPr>
      <w:rPr>
        <w:rFonts w:hint="default" w:ascii="Times New Roman" w:hAnsi="Times New Roman" w:eastAsia="Times New Roman" w:cs="Times New Roman"/>
        <w:w w:val="120"/>
        <w:sz w:val="22"/>
        <w:szCs w:val="22"/>
      </w:rPr>
    </w:lvl>
    <w:lvl w:ilvl="2">
      <w:start w:val="0"/>
      <w:numFmt w:val="bullet"/>
      <w:lvlText w:val="•"/>
      <w:lvlJc w:val="left"/>
      <w:pPr>
        <w:ind w:left="2491" w:hanging="358"/>
      </w:pPr>
      <w:rPr>
        <w:rFonts w:hint="default"/>
      </w:rPr>
    </w:lvl>
    <w:lvl w:ilvl="3">
      <w:start w:val="0"/>
      <w:numFmt w:val="bullet"/>
      <w:lvlText w:val="•"/>
      <w:lvlJc w:val="left"/>
      <w:pPr>
        <w:ind w:left="3503" w:hanging="358"/>
      </w:pPr>
      <w:rPr>
        <w:rFonts w:hint="default"/>
      </w:rPr>
    </w:lvl>
    <w:lvl w:ilvl="4">
      <w:start w:val="0"/>
      <w:numFmt w:val="bullet"/>
      <w:lvlText w:val="•"/>
      <w:lvlJc w:val="left"/>
      <w:pPr>
        <w:ind w:left="4515" w:hanging="358"/>
      </w:pPr>
      <w:rPr>
        <w:rFonts w:hint="default"/>
      </w:rPr>
    </w:lvl>
    <w:lvl w:ilvl="5">
      <w:start w:val="0"/>
      <w:numFmt w:val="bullet"/>
      <w:lvlText w:val="•"/>
      <w:lvlJc w:val="left"/>
      <w:pPr>
        <w:ind w:left="5527" w:hanging="358"/>
      </w:pPr>
      <w:rPr>
        <w:rFonts w:hint="default"/>
      </w:rPr>
    </w:lvl>
    <w:lvl w:ilvl="6">
      <w:start w:val="0"/>
      <w:numFmt w:val="bullet"/>
      <w:lvlText w:val="•"/>
      <w:lvlJc w:val="left"/>
      <w:pPr>
        <w:ind w:left="6539" w:hanging="358"/>
      </w:pPr>
      <w:rPr>
        <w:rFonts w:hint="default"/>
      </w:rPr>
    </w:lvl>
    <w:lvl w:ilvl="7">
      <w:start w:val="0"/>
      <w:numFmt w:val="bullet"/>
      <w:lvlText w:val="•"/>
      <w:lvlJc w:val="left"/>
      <w:pPr>
        <w:ind w:left="7550" w:hanging="358"/>
      </w:pPr>
      <w:rPr>
        <w:rFonts w:hint="default"/>
      </w:rPr>
    </w:lvl>
    <w:lvl w:ilvl="8">
      <w:start w:val="0"/>
      <w:numFmt w:val="bullet"/>
      <w:lvlText w:val="•"/>
      <w:lvlJc w:val="left"/>
      <w:pPr>
        <w:ind w:left="8562" w:hanging="358"/>
      </w:pPr>
      <w:rPr>
        <w:rFonts w:hint="default"/>
      </w:rPr>
    </w:lvl>
  </w:abstractNum>
  <w:abstractNum w:abstractNumId="0">
    <w:multiLevelType w:val="hybridMultilevel"/>
    <w:lvl w:ilvl="0">
      <w:start w:val="0"/>
      <w:numFmt w:val="bullet"/>
      <w:lvlText w:val="□"/>
      <w:lvlJc w:val="left"/>
      <w:pPr>
        <w:ind w:left="1105" w:hanging="355"/>
      </w:pPr>
      <w:rPr>
        <w:rFonts w:hint="default"/>
        <w:w w:val="76"/>
      </w:rPr>
    </w:lvl>
    <w:lvl w:ilvl="1">
      <w:start w:val="0"/>
      <w:numFmt w:val="bullet"/>
      <w:lvlText w:val="•"/>
      <w:lvlJc w:val="left"/>
      <w:pPr>
        <w:ind w:left="2048" w:hanging="355"/>
      </w:pPr>
      <w:rPr>
        <w:rFonts w:hint="default"/>
      </w:rPr>
    </w:lvl>
    <w:lvl w:ilvl="2">
      <w:start w:val="0"/>
      <w:numFmt w:val="bullet"/>
      <w:lvlText w:val="•"/>
      <w:lvlJc w:val="left"/>
      <w:pPr>
        <w:ind w:left="2997" w:hanging="355"/>
      </w:pPr>
      <w:rPr>
        <w:rFonts w:hint="default"/>
      </w:rPr>
    </w:lvl>
    <w:lvl w:ilvl="3">
      <w:start w:val="0"/>
      <w:numFmt w:val="bullet"/>
      <w:lvlText w:val="•"/>
      <w:lvlJc w:val="left"/>
      <w:pPr>
        <w:ind w:left="3945" w:hanging="355"/>
      </w:pPr>
      <w:rPr>
        <w:rFonts w:hint="default"/>
      </w:rPr>
    </w:lvl>
    <w:lvl w:ilvl="4">
      <w:start w:val="0"/>
      <w:numFmt w:val="bullet"/>
      <w:lvlText w:val="•"/>
      <w:lvlJc w:val="left"/>
      <w:pPr>
        <w:ind w:left="4894" w:hanging="355"/>
      </w:pPr>
      <w:rPr>
        <w:rFonts w:hint="default"/>
      </w:rPr>
    </w:lvl>
    <w:lvl w:ilvl="5">
      <w:start w:val="0"/>
      <w:numFmt w:val="bullet"/>
      <w:lvlText w:val="•"/>
      <w:lvlJc w:val="left"/>
      <w:pPr>
        <w:ind w:left="5843" w:hanging="355"/>
      </w:pPr>
      <w:rPr>
        <w:rFonts w:hint="default"/>
      </w:rPr>
    </w:lvl>
    <w:lvl w:ilvl="6">
      <w:start w:val="0"/>
      <w:numFmt w:val="bullet"/>
      <w:lvlText w:val="•"/>
      <w:lvlJc w:val="left"/>
      <w:pPr>
        <w:ind w:left="6791" w:hanging="355"/>
      </w:pPr>
      <w:rPr>
        <w:rFonts w:hint="default"/>
      </w:rPr>
    </w:lvl>
    <w:lvl w:ilvl="7">
      <w:start w:val="0"/>
      <w:numFmt w:val="bullet"/>
      <w:lvlText w:val="•"/>
      <w:lvlJc w:val="left"/>
      <w:pPr>
        <w:ind w:left="7740" w:hanging="355"/>
      </w:pPr>
      <w:rPr>
        <w:rFonts w:hint="default"/>
      </w:rPr>
    </w:lvl>
    <w:lvl w:ilvl="8">
      <w:start w:val="0"/>
      <w:numFmt w:val="bullet"/>
      <w:lvlText w:val="•"/>
      <w:lvlJc w:val="left"/>
      <w:pPr>
        <w:ind w:left="8689" w:hanging="355"/>
      </w:pPr>
      <w:rPr>
        <w:rFonts w:hint="default"/>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41"/>
      <w:ind w:left="392"/>
    </w:pPr>
    <w:rPr>
      <w:rFonts w:ascii="Times New Roman" w:hAnsi="Times New Roman" w:eastAsia="Times New Roman" w:cs="Times New Roman"/>
      <w:sz w:val="20"/>
      <w:szCs w:val="20"/>
    </w:rPr>
  </w:style>
  <w:style w:styleId="TOC2" w:type="paragraph">
    <w:name w:val="TOC 2"/>
    <w:basedOn w:val="Normal"/>
    <w:uiPriority w:val="1"/>
    <w:qFormat/>
    <w:pPr>
      <w:spacing w:before="240"/>
      <w:ind w:left="632"/>
    </w:pPr>
    <w:rPr>
      <w:rFonts w:ascii="Times New Roman" w:hAnsi="Times New Roman" w:eastAsia="Times New Roman" w:cs="Times New Roman"/>
      <w:sz w:val="20"/>
      <w:szCs w:val="20"/>
    </w:rPr>
  </w:style>
  <w:style w:styleId="TOC3" w:type="paragraph">
    <w:name w:val="TOC 3"/>
    <w:basedOn w:val="Normal"/>
    <w:uiPriority w:val="1"/>
    <w:qFormat/>
    <w:pPr>
      <w:spacing w:before="240"/>
      <w:ind w:left="632"/>
    </w:pPr>
    <w:rPr>
      <w:rFonts w:ascii="Times New Roman" w:hAnsi="Times New Roman" w:eastAsia="Times New Roman" w:cs="Times New Roman"/>
      <w:b/>
      <w:bCs/>
      <w:i/>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before="75"/>
      <w:ind w:left="392"/>
      <w:outlineLvl w:val="1"/>
    </w:pPr>
    <w:rPr>
      <w:rFonts w:ascii="Times New Roman" w:hAnsi="Times New Roman" w:eastAsia="Times New Roman" w:cs="Times New Roman"/>
      <w:sz w:val="32"/>
      <w:szCs w:val="32"/>
    </w:rPr>
  </w:style>
  <w:style w:styleId="Heading2" w:type="paragraph">
    <w:name w:val="Heading 2"/>
    <w:basedOn w:val="Normal"/>
    <w:uiPriority w:val="1"/>
    <w:qFormat/>
    <w:pPr>
      <w:spacing w:before="74"/>
      <w:ind w:left="112"/>
      <w:outlineLvl w:val="2"/>
    </w:pPr>
    <w:rPr>
      <w:rFonts w:ascii="Times New Roman" w:hAnsi="Times New Roman" w:eastAsia="Times New Roman" w:cs="Times New Roman"/>
      <w:sz w:val="28"/>
      <w:szCs w:val="28"/>
    </w:rPr>
  </w:style>
  <w:style w:styleId="Heading3" w:type="paragraph">
    <w:name w:val="Heading 3"/>
    <w:basedOn w:val="Normal"/>
    <w:uiPriority w:val="1"/>
    <w:qFormat/>
    <w:pPr>
      <w:ind w:left="392"/>
      <w:outlineLvl w:val="3"/>
    </w:pPr>
    <w:rPr>
      <w:rFonts w:ascii="Times New Roman" w:hAnsi="Times New Roman" w:eastAsia="Times New Roman" w:cs="Times New Roman"/>
      <w:sz w:val="26"/>
      <w:szCs w:val="26"/>
    </w:rPr>
  </w:style>
  <w:style w:styleId="ListParagraph" w:type="paragraph">
    <w:name w:val="List Paragraph"/>
    <w:basedOn w:val="Normal"/>
    <w:uiPriority w:val="1"/>
    <w:qFormat/>
    <w:pPr>
      <w:spacing w:before="136"/>
      <w:ind w:left="749" w:hanging="357"/>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hyperlink" Target="mailto:examinations@nzqa.govt.nz" TargetMode="External"/><Relationship Id="rId8" Type="http://schemas.openxmlformats.org/officeDocument/2006/relationships/hyperlink" Target="http://www.courierpost.co.nz/" TargetMode="External"/><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footer" Target="footer2.xml"/><Relationship Id="rId13" Type="http://schemas.openxmlformats.org/officeDocument/2006/relationships/hyperlink" Target="http://www.nzqa.govt.nz/login/"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jpeg"/><Relationship Id="rId25" Type="http://schemas.openxmlformats.org/officeDocument/2006/relationships/footer" Target="footer3.xml"/><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footer" Target="footer4.xml"/><Relationship Id="rId35" Type="http://schemas.openxmlformats.org/officeDocument/2006/relationships/footer" Target="footer5.xml"/><Relationship Id="rId36" Type="http://schemas.openxmlformats.org/officeDocument/2006/relationships/footer" Target="footer6.xml"/><Relationship Id="rId37" Type="http://schemas.openxmlformats.org/officeDocument/2006/relationships/footer" Target="footer7.xml"/><Relationship Id="rId38" Type="http://schemas.openxmlformats.org/officeDocument/2006/relationships/footer" Target="footer8.xml"/><Relationship Id="rId39" Type="http://schemas.openxmlformats.org/officeDocument/2006/relationships/image" Target="media/image24.jpeg"/><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image" Target="media/image27.jpeg"/><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jpeg"/><Relationship Id="rId46" Type="http://schemas.openxmlformats.org/officeDocument/2006/relationships/image" Target="media/image31.jpeg"/><Relationship Id="rId47" Type="http://schemas.openxmlformats.org/officeDocument/2006/relationships/image" Target="media/image32.jpeg"/><Relationship Id="rId48" Type="http://schemas.openxmlformats.org/officeDocument/2006/relationships/image" Target="media/image33.jpeg"/><Relationship Id="rId49" Type="http://schemas.openxmlformats.org/officeDocument/2006/relationships/image" Target="media/image34.jpeg"/><Relationship Id="rId50" Type="http://schemas.openxmlformats.org/officeDocument/2006/relationships/footer" Target="footer9.xml"/><Relationship Id="rId51" Type="http://schemas.openxmlformats.org/officeDocument/2006/relationships/image" Target="media/image35.jpeg"/><Relationship Id="rId52" Type="http://schemas.openxmlformats.org/officeDocument/2006/relationships/image" Target="media/image36.jpeg"/><Relationship Id="rId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JaneBa</dc:creator>
  <dc:title>Microsoft Word - NCEA Guide Notes 2019 V2.docx</dc:title>
  <dcterms:created xsi:type="dcterms:W3CDTF">2019-10-11T02:10:06Z</dcterms:created>
  <dcterms:modified xsi:type="dcterms:W3CDTF">2019-10-11T02:10:06Z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2019-10-01T00:00:00Z</vt:filetime>
  </property>
  <property fmtid="{D5CDD505-2E9C-101B-9397-08002B2CF9AE}" pid="3" name="LastSaved">
    <vt:filetime>2019-10-11T00:00:00Z</vt:filetime>
  </property>
</Properties>
</file>