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3055"/>
        <w:gridCol w:w="1667"/>
        <w:gridCol w:w="3437"/>
      </w:tblGrid>
      <w:tr w:rsidR="00A73F41" w14:paraId="0A25E969" w14:textId="77777777" w:rsidTr="007F3904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0A25E967" w14:textId="77777777" w:rsidR="00A73F41" w:rsidRDefault="00A73F41">
            <w:pPr>
              <w:pStyle w:val="StyleBoldBefore6ptAfter6pt"/>
              <w:spacing w:before="0" w:after="0"/>
            </w:pPr>
            <w:r>
              <w:t>Title</w:t>
            </w:r>
          </w:p>
        </w:tc>
        <w:tc>
          <w:tcPr>
            <w:tcW w:w="8097" w:type="dxa"/>
            <w:gridSpan w:val="3"/>
            <w:tcMar>
              <w:top w:w="170" w:type="dxa"/>
              <w:bottom w:w="170" w:type="dxa"/>
            </w:tcMar>
            <w:vAlign w:val="center"/>
          </w:tcPr>
          <w:p w14:paraId="0A25E968" w14:textId="77777777" w:rsidR="00A73F41" w:rsidRDefault="007F3904">
            <w:pPr>
              <w:rPr>
                <w:b/>
              </w:rPr>
            </w:pPr>
            <w:r>
              <w:rPr>
                <w:b/>
              </w:rPr>
              <w:t>Present and defend an argument orally</w:t>
            </w:r>
          </w:p>
        </w:tc>
      </w:tr>
      <w:tr w:rsidR="00A73F41" w14:paraId="0A25E96E" w14:textId="77777777" w:rsidTr="007F3904">
        <w:tc>
          <w:tcPr>
            <w:tcW w:w="1731" w:type="dxa"/>
            <w:shd w:val="clear" w:color="auto" w:fill="F3F3F3"/>
            <w:tcMar>
              <w:top w:w="170" w:type="dxa"/>
              <w:bottom w:w="170" w:type="dxa"/>
            </w:tcMar>
          </w:tcPr>
          <w:p w14:paraId="0A25E96A" w14:textId="77777777" w:rsidR="00A73F41" w:rsidRDefault="00A73F41">
            <w:pPr>
              <w:pStyle w:val="StyleBoldBefore6ptAfter6pt"/>
              <w:spacing w:before="0" w:after="0"/>
            </w:pPr>
            <w:r>
              <w:t>Level</w:t>
            </w:r>
          </w:p>
        </w:tc>
        <w:tc>
          <w:tcPr>
            <w:tcW w:w="3177" w:type="dxa"/>
            <w:tcMar>
              <w:top w:w="170" w:type="dxa"/>
              <w:bottom w:w="170" w:type="dxa"/>
            </w:tcMar>
            <w:vAlign w:val="center"/>
          </w:tcPr>
          <w:p w14:paraId="0A25E96B" w14:textId="77777777" w:rsidR="00A73F41" w:rsidRDefault="007F390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29" w:type="dxa"/>
            <w:shd w:val="clear" w:color="auto" w:fill="F3F3F3"/>
            <w:tcMar>
              <w:top w:w="170" w:type="dxa"/>
              <w:bottom w:w="170" w:type="dxa"/>
            </w:tcMar>
          </w:tcPr>
          <w:p w14:paraId="0A25E96C" w14:textId="77777777" w:rsidR="00A73F41" w:rsidRDefault="00A73F41">
            <w:pPr>
              <w:rPr>
                <w:b/>
                <w:color w:val="000000"/>
              </w:rPr>
            </w:pPr>
            <w:r>
              <w:rPr>
                <w:b/>
              </w:rPr>
              <w:t>Credits</w:t>
            </w:r>
          </w:p>
        </w:tc>
        <w:tc>
          <w:tcPr>
            <w:tcW w:w="3575" w:type="dxa"/>
            <w:tcMar>
              <w:top w:w="170" w:type="dxa"/>
              <w:bottom w:w="170" w:type="dxa"/>
            </w:tcMar>
            <w:vAlign w:val="center"/>
          </w:tcPr>
          <w:p w14:paraId="0A25E96D" w14:textId="77777777" w:rsidR="00A73F41" w:rsidRDefault="007F390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0A25E96F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0A25E972" w14:textId="77777777" w:rsidTr="007F3904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0A25E970" w14:textId="77777777" w:rsidR="00A73F41" w:rsidRDefault="00A73F41">
            <w:pPr>
              <w:pStyle w:val="StyleBoldBefore6ptAfter6pt"/>
              <w:spacing w:before="0" w:after="0"/>
            </w:pPr>
            <w:r>
              <w:rPr>
                <w:bCs w:val="0"/>
              </w:rPr>
              <w:t>Purpose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  <w:vAlign w:val="center"/>
          </w:tcPr>
          <w:p w14:paraId="0A25E971" w14:textId="77777777" w:rsidR="00A73F41" w:rsidRDefault="007F3904">
            <w:r>
              <w:t>People credited with this unit standard are able to present and defend an argument orally.</w:t>
            </w:r>
          </w:p>
        </w:tc>
      </w:tr>
    </w:tbl>
    <w:p w14:paraId="0A25E973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0A25E976" w14:textId="77777777" w:rsidTr="007F3904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0A25E974" w14:textId="77777777" w:rsidR="00A73F41" w:rsidRDefault="00A73F41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Classification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  <w:vAlign w:val="center"/>
          </w:tcPr>
          <w:p w14:paraId="0A25E975" w14:textId="77777777" w:rsidR="00A73F41" w:rsidRDefault="007F3904">
            <w:r>
              <w:t>Communication Skills &gt; Interpersonal Communications</w:t>
            </w:r>
          </w:p>
        </w:tc>
      </w:tr>
    </w:tbl>
    <w:p w14:paraId="0A25E977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6974"/>
      </w:tblGrid>
      <w:tr w:rsidR="00A73F41" w14:paraId="0A25E97A" w14:textId="77777777">
        <w:tc>
          <w:tcPr>
            <w:tcW w:w="2868" w:type="dxa"/>
            <w:shd w:val="clear" w:color="auto" w:fill="F3F3F3"/>
            <w:tcMar>
              <w:top w:w="170" w:type="dxa"/>
              <w:bottom w:w="170" w:type="dxa"/>
            </w:tcMar>
          </w:tcPr>
          <w:p w14:paraId="0A25E978" w14:textId="77777777" w:rsidR="00A73F41" w:rsidRDefault="00A73F41">
            <w:pPr>
              <w:pStyle w:val="StyleBoldBefore6ptAfter6pt"/>
              <w:spacing w:before="0" w:after="0"/>
              <w:rPr>
                <w:bCs w:val="0"/>
              </w:rPr>
            </w:pPr>
            <w:r>
              <w:rPr>
                <w:bCs w:val="0"/>
              </w:rPr>
              <w:t>Available grade</w:t>
            </w:r>
          </w:p>
        </w:tc>
        <w:tc>
          <w:tcPr>
            <w:tcW w:w="6974" w:type="dxa"/>
            <w:tcMar>
              <w:top w:w="170" w:type="dxa"/>
              <w:bottom w:w="170" w:type="dxa"/>
            </w:tcMar>
          </w:tcPr>
          <w:p w14:paraId="0A25E979" w14:textId="4533C121" w:rsidR="00A73F41" w:rsidRDefault="00415629">
            <w:r>
              <w:t>Achieved</w:t>
            </w:r>
          </w:p>
        </w:tc>
      </w:tr>
    </w:tbl>
    <w:p w14:paraId="0A25E987" w14:textId="77777777" w:rsidR="00A73F41" w:rsidRDefault="00A73F41">
      <w:pPr>
        <w:rPr>
          <w:rFonts w:cs="Arial"/>
        </w:rPr>
      </w:pPr>
    </w:p>
    <w:p w14:paraId="0A25E988" w14:textId="77777777" w:rsidR="00A73F41" w:rsidRDefault="00EE3E61">
      <w:pPr>
        <w:pBdr>
          <w:top w:val="single" w:sz="4" w:space="1" w:color="auto"/>
        </w:pBdr>
        <w:tabs>
          <w:tab w:val="left" w:pos="567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Guidance Information</w:t>
      </w:r>
    </w:p>
    <w:p w14:paraId="0A25E989" w14:textId="77777777" w:rsidR="007F3904" w:rsidRPr="007F3904" w:rsidRDefault="007F3904" w:rsidP="007F3904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  <w:b/>
        </w:rPr>
      </w:pPr>
    </w:p>
    <w:p w14:paraId="0A25E98A" w14:textId="77777777" w:rsidR="007F3904" w:rsidRPr="007F3904" w:rsidRDefault="007F3904" w:rsidP="007F3904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 w:rsidRPr="007F3904">
        <w:rPr>
          <w:rFonts w:cs="Arial"/>
        </w:rPr>
        <w:t>1</w:t>
      </w:r>
      <w:r w:rsidRPr="007F3904">
        <w:rPr>
          <w:rFonts w:cs="Arial"/>
        </w:rPr>
        <w:tab/>
        <w:t>Definition</w:t>
      </w:r>
    </w:p>
    <w:p w14:paraId="0A25E98B" w14:textId="189E1709" w:rsidR="007F3904" w:rsidRPr="007F3904" w:rsidRDefault="007C3871" w:rsidP="007F3904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rPr>
          <w:rFonts w:cs="Arial"/>
        </w:rPr>
        <w:tab/>
      </w:r>
      <w:r w:rsidR="007F3904" w:rsidRPr="007F3904">
        <w:rPr>
          <w:rFonts w:cs="Arial"/>
        </w:rPr>
        <w:t xml:space="preserve">The term </w:t>
      </w:r>
      <w:r w:rsidR="007F3904" w:rsidRPr="007F3904">
        <w:rPr>
          <w:rFonts w:cs="Arial"/>
          <w:i/>
        </w:rPr>
        <w:t>argument</w:t>
      </w:r>
      <w:r w:rsidR="007F3904" w:rsidRPr="007F3904">
        <w:rPr>
          <w:rFonts w:cs="Arial"/>
        </w:rPr>
        <w:t xml:space="preserve"> in this unit standard refers to a proposition which is presented with supporting detail and reasoning and which is met with reasoned opposition.  It does not refer to a dispute between people.</w:t>
      </w:r>
    </w:p>
    <w:p w14:paraId="0A25E98C" w14:textId="03E671DD" w:rsidR="007F3904" w:rsidRPr="007F3904" w:rsidRDefault="007C3871" w:rsidP="007F3904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rPr>
          <w:rFonts w:cs="Arial"/>
          <w:i/>
        </w:rPr>
        <w:tab/>
      </w:r>
      <w:r w:rsidR="007F3904" w:rsidRPr="007F3904">
        <w:rPr>
          <w:rFonts w:cs="Arial"/>
          <w:i/>
        </w:rPr>
        <w:t>Audience</w:t>
      </w:r>
      <w:r w:rsidR="007F3904" w:rsidRPr="007F3904">
        <w:rPr>
          <w:rFonts w:cs="Arial"/>
        </w:rPr>
        <w:t xml:space="preserve"> refers to a group of at least three people.</w:t>
      </w:r>
    </w:p>
    <w:p w14:paraId="0A25E98D" w14:textId="77777777" w:rsidR="007F3904" w:rsidRPr="007F3904" w:rsidRDefault="007F3904" w:rsidP="009A611F">
      <w:pPr>
        <w:tabs>
          <w:tab w:val="left" w:pos="567"/>
          <w:tab w:val="left" w:pos="1134"/>
          <w:tab w:val="left" w:pos="1417"/>
          <w:tab w:val="left" w:pos="9072"/>
        </w:tabs>
        <w:ind w:left="567" w:hanging="567"/>
        <w:rPr>
          <w:rFonts w:cs="Arial"/>
        </w:rPr>
      </w:pPr>
    </w:p>
    <w:p w14:paraId="0A25E98E" w14:textId="05D66440" w:rsidR="007F3904" w:rsidRPr="007F3904" w:rsidRDefault="007F3904" w:rsidP="007F3904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 w:rsidRPr="007F3904">
        <w:rPr>
          <w:rFonts w:cs="Arial"/>
        </w:rPr>
        <w:t>2</w:t>
      </w:r>
      <w:r w:rsidRPr="007F3904">
        <w:rPr>
          <w:rFonts w:cs="Arial"/>
        </w:rPr>
        <w:tab/>
      </w:r>
      <w:r w:rsidR="007B66FC">
        <w:t>Candidates must be assessed against this unit standard in a real-life workplace context using naturally occurring evidence, or in simulated conditions relevant to the candidate which require performance equivalent to a real-life context</w:t>
      </w:r>
      <w:r w:rsidRPr="007F3904">
        <w:rPr>
          <w:rFonts w:cs="Arial"/>
        </w:rPr>
        <w:t>.</w:t>
      </w:r>
    </w:p>
    <w:p w14:paraId="0A25E98F" w14:textId="77777777" w:rsidR="007F3904" w:rsidRPr="007F3904" w:rsidRDefault="007F3904" w:rsidP="007F3904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</w:p>
    <w:p w14:paraId="0A25E990" w14:textId="0CD08DF2" w:rsidR="007F3904" w:rsidRPr="007F3904" w:rsidRDefault="007C3871" w:rsidP="007F3904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rPr>
          <w:rFonts w:cs="Arial"/>
        </w:rPr>
        <w:tab/>
      </w:r>
      <w:r w:rsidR="009A611F">
        <w:rPr>
          <w:rFonts w:cs="Arial"/>
        </w:rPr>
        <w:t>A</w:t>
      </w:r>
      <w:r w:rsidR="007F3904" w:rsidRPr="007F3904">
        <w:rPr>
          <w:rFonts w:cs="Arial"/>
        </w:rPr>
        <w:t xml:space="preserve"> verifier’s checklist is acceptable if accompanied by evidence that includes examples from the candidate’s performance.</w:t>
      </w:r>
    </w:p>
    <w:p w14:paraId="0A25E991" w14:textId="77777777" w:rsidR="007F3904" w:rsidRPr="007F3904" w:rsidRDefault="007F3904" w:rsidP="007F3904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</w:p>
    <w:p w14:paraId="0A25E992" w14:textId="77777777" w:rsidR="007F3904" w:rsidRPr="007F3904" w:rsidRDefault="007F3904" w:rsidP="007F3904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 w:rsidRPr="007F3904">
        <w:rPr>
          <w:rFonts w:cs="Arial"/>
        </w:rPr>
        <w:t>3</w:t>
      </w:r>
      <w:r w:rsidRPr="007F3904">
        <w:rPr>
          <w:rFonts w:cs="Arial"/>
        </w:rPr>
        <w:tab/>
        <w:t>For assessment, voice modulation for hearing impaired people may be demonstrated through a sign language interpreter voicing the message of the signer.</w:t>
      </w:r>
      <w:r w:rsidRPr="007F3904">
        <w:rPr>
          <w:rFonts w:cs="Arial"/>
          <w:i/>
        </w:rPr>
        <w:t xml:space="preserve"> </w:t>
      </w:r>
      <w:r w:rsidRPr="007F3904">
        <w:rPr>
          <w:rFonts w:cs="Arial"/>
        </w:rPr>
        <w:t>Voice modulation</w:t>
      </w:r>
      <w:r w:rsidRPr="007F3904">
        <w:rPr>
          <w:rFonts w:cs="Arial"/>
          <w:i/>
        </w:rPr>
        <w:t xml:space="preserve"> </w:t>
      </w:r>
      <w:r w:rsidRPr="007F3904">
        <w:rPr>
          <w:rFonts w:cs="Arial"/>
        </w:rPr>
        <w:t>refers to the variation of the quality of one's voice with regard to inflection, tone, pitch, and intensity.</w:t>
      </w:r>
    </w:p>
    <w:p w14:paraId="0A25E993" w14:textId="77777777" w:rsidR="007F3904" w:rsidRPr="007F3904" w:rsidRDefault="007F3904" w:rsidP="007F3904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</w:p>
    <w:p w14:paraId="0A25E994" w14:textId="77777777" w:rsidR="007F3904" w:rsidRPr="007F3904" w:rsidRDefault="007F3904" w:rsidP="007F3904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 w:rsidRPr="007F3904">
        <w:rPr>
          <w:rFonts w:cs="Arial"/>
        </w:rPr>
        <w:t>4</w:t>
      </w:r>
      <w:r w:rsidRPr="007F3904">
        <w:rPr>
          <w:rFonts w:cs="Arial"/>
        </w:rPr>
        <w:tab/>
        <w:t>For participants from the deaf community, New Zealand Sign Language (NZSL) may be used between signing individuals and a signing group in order to demonstrate the requirements for this unit standard.  A sign language interpreter must not be used in a group where all participants are using NZSL.</w:t>
      </w:r>
    </w:p>
    <w:p w14:paraId="0A25E995" w14:textId="77777777" w:rsidR="007F3904" w:rsidRPr="007F3904" w:rsidRDefault="007F3904" w:rsidP="007F3904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</w:p>
    <w:p w14:paraId="0A25E996" w14:textId="49F6DC14" w:rsidR="007F3904" w:rsidRPr="007F3904" w:rsidRDefault="007C3871" w:rsidP="007F3904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</w:rPr>
      </w:pPr>
      <w:r>
        <w:rPr>
          <w:rFonts w:cs="Arial"/>
        </w:rPr>
        <w:tab/>
      </w:r>
      <w:r w:rsidR="007F3904" w:rsidRPr="007F3904">
        <w:rPr>
          <w:rFonts w:cs="Arial"/>
        </w:rPr>
        <w:t>For mixed groups of hearing and deaf participants, an interpreter may be used to interpret spoken and signed language only when NZSL users are interacting with hearing participants.</w:t>
      </w:r>
    </w:p>
    <w:p w14:paraId="0A25E997" w14:textId="5CE3B8BD" w:rsidR="00A73F41" w:rsidRDefault="00A73F41">
      <w:pPr>
        <w:tabs>
          <w:tab w:val="left" w:pos="567"/>
        </w:tabs>
        <w:rPr>
          <w:rFonts w:cs="Arial"/>
        </w:rPr>
      </w:pPr>
    </w:p>
    <w:p w14:paraId="6AEFF7CA" w14:textId="77777777" w:rsidR="009A611F" w:rsidRDefault="009A611F" w:rsidP="009A611F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  <w:szCs w:val="24"/>
        </w:rPr>
      </w:pPr>
      <w:r>
        <w:rPr>
          <w:rFonts w:cs="Arial"/>
        </w:rPr>
        <w:t>5</w:t>
      </w:r>
      <w:r>
        <w:rPr>
          <w:rFonts w:cs="Arial"/>
        </w:rPr>
        <w:tab/>
        <w:t xml:space="preserve">All activities relevant to this standard will respect </w:t>
      </w:r>
      <w:r>
        <w:rPr>
          <w:rFonts w:cs="Arial"/>
          <w:szCs w:val="24"/>
        </w:rPr>
        <w:t>ngā kaupapa o te Tiriti o Waitangi (the principles of the Treaty of Waitangi).</w:t>
      </w:r>
    </w:p>
    <w:p w14:paraId="13020070" w14:textId="77777777" w:rsidR="009A611F" w:rsidRDefault="009A611F" w:rsidP="009A611F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  <w:szCs w:val="24"/>
        </w:rPr>
      </w:pPr>
    </w:p>
    <w:p w14:paraId="4ED78C7F" w14:textId="1D997F77" w:rsidR="009A611F" w:rsidRDefault="009A611F" w:rsidP="009A611F">
      <w:pPr>
        <w:tabs>
          <w:tab w:val="left" w:pos="567"/>
          <w:tab w:val="left" w:pos="1134"/>
          <w:tab w:val="left" w:pos="1417"/>
        </w:tabs>
        <w:ind w:left="567" w:hanging="567"/>
        <w:rPr>
          <w:rFonts w:cs="Arial"/>
          <w:szCs w:val="24"/>
        </w:rPr>
      </w:pPr>
      <w:r>
        <w:rPr>
          <w:rFonts w:cs="Arial"/>
          <w:szCs w:val="24"/>
        </w:rPr>
        <w:t>6</w:t>
      </w:r>
      <w:r>
        <w:rPr>
          <w:rFonts w:cs="Arial"/>
          <w:szCs w:val="24"/>
        </w:rPr>
        <w:tab/>
      </w:r>
      <w:r w:rsidR="00362140">
        <w:rPr>
          <w:rFonts w:cs="Arial"/>
          <w:szCs w:val="24"/>
        </w:rPr>
        <w:t>All activities will, as relevant to candidates and/or this standard, reflect the</w:t>
      </w:r>
      <w:r w:rsidR="00362140">
        <w:rPr>
          <w:rStyle w:val="public-draftstyledefault-block"/>
          <w:rFonts w:ascii="Helvetica" w:hAnsi="Helvetica" w:cs="Helvetica"/>
          <w:color w:val="333333"/>
          <w:szCs w:val="24"/>
          <w:bdr w:val="none" w:sz="0" w:space="0" w:color="auto" w:frame="1"/>
        </w:rPr>
        <w:t xml:space="preserve"> peoples of the Pacific and other cultures, and their world views.</w:t>
      </w:r>
    </w:p>
    <w:p w14:paraId="27330267" w14:textId="77777777" w:rsidR="009A611F" w:rsidRDefault="009A611F">
      <w:pPr>
        <w:tabs>
          <w:tab w:val="left" w:pos="567"/>
        </w:tabs>
        <w:rPr>
          <w:rFonts w:cs="Arial"/>
        </w:rPr>
      </w:pPr>
    </w:p>
    <w:p w14:paraId="0A25E998" w14:textId="77777777" w:rsidR="00A73F41" w:rsidRPr="007F3904" w:rsidRDefault="00A73F41">
      <w:pPr>
        <w:pBdr>
          <w:top w:val="single" w:sz="4" w:space="1" w:color="auto"/>
        </w:pBdr>
        <w:tabs>
          <w:tab w:val="left" w:pos="567"/>
        </w:tabs>
        <w:rPr>
          <w:rFonts w:cs="Arial"/>
          <w:b/>
          <w:bCs/>
          <w:sz w:val="28"/>
        </w:rPr>
      </w:pPr>
      <w:r>
        <w:rPr>
          <w:b/>
          <w:bCs/>
          <w:sz w:val="28"/>
        </w:rPr>
        <w:lastRenderedPageBreak/>
        <w:t>Ou</w:t>
      </w:r>
      <w:r w:rsidR="00BD7532">
        <w:rPr>
          <w:b/>
          <w:bCs/>
          <w:sz w:val="28"/>
        </w:rPr>
        <w:t xml:space="preserve">tcomes and performance </w:t>
      </w:r>
      <w:r w:rsidR="002679DA">
        <w:rPr>
          <w:b/>
          <w:bCs/>
          <w:sz w:val="28"/>
        </w:rPr>
        <w:t>criteri</w:t>
      </w:r>
      <w:r w:rsidR="002679DA" w:rsidRPr="007F3904">
        <w:rPr>
          <w:rFonts w:cs="Arial"/>
          <w:b/>
          <w:bCs/>
          <w:sz w:val="28"/>
        </w:rPr>
        <w:t>a</w:t>
      </w:r>
    </w:p>
    <w:p w14:paraId="0A25E999" w14:textId="77777777" w:rsidR="007F3904" w:rsidRPr="007F3904" w:rsidRDefault="007F3904">
      <w:pPr>
        <w:tabs>
          <w:tab w:val="left" w:pos="567"/>
        </w:tabs>
        <w:rPr>
          <w:rFonts w:cs="Arial"/>
        </w:rPr>
      </w:pPr>
    </w:p>
    <w:p w14:paraId="0A25E99A" w14:textId="77777777" w:rsidR="007F3904" w:rsidRPr="007F3904" w:rsidRDefault="007F3904" w:rsidP="007F3904">
      <w:pPr>
        <w:rPr>
          <w:rFonts w:cs="Arial"/>
          <w:b/>
        </w:rPr>
      </w:pPr>
      <w:r w:rsidRPr="007F3904">
        <w:rPr>
          <w:rFonts w:cs="Arial"/>
          <w:b/>
        </w:rPr>
        <w:t>Outcome 1</w:t>
      </w:r>
    </w:p>
    <w:p w14:paraId="0A25E99B" w14:textId="77777777" w:rsidR="007F3904" w:rsidRPr="007F3904" w:rsidRDefault="007F3904" w:rsidP="007F3904">
      <w:pPr>
        <w:rPr>
          <w:rFonts w:cs="Arial"/>
          <w:b/>
        </w:rPr>
      </w:pPr>
    </w:p>
    <w:p w14:paraId="0A25E99C" w14:textId="77777777" w:rsidR="007F3904" w:rsidRPr="007F3904" w:rsidRDefault="007F3904" w:rsidP="007F3904">
      <w:pPr>
        <w:rPr>
          <w:rFonts w:cs="Arial"/>
        </w:rPr>
      </w:pPr>
      <w:r w:rsidRPr="007F3904">
        <w:rPr>
          <w:rFonts w:cs="Arial"/>
        </w:rPr>
        <w:t>Present and defend an argument orally.</w:t>
      </w:r>
    </w:p>
    <w:p w14:paraId="0A25E99E" w14:textId="77777777" w:rsidR="007F3904" w:rsidRPr="007F3904" w:rsidRDefault="007F3904" w:rsidP="007F3904">
      <w:pPr>
        <w:rPr>
          <w:rFonts w:cs="Arial"/>
        </w:rPr>
      </w:pPr>
    </w:p>
    <w:p w14:paraId="0A25E99F" w14:textId="77777777" w:rsidR="007F3904" w:rsidRPr="007F3904" w:rsidRDefault="007F3904" w:rsidP="007F3904">
      <w:pPr>
        <w:keepNext/>
        <w:keepLines/>
        <w:rPr>
          <w:rFonts w:cs="Arial"/>
          <w:b/>
        </w:rPr>
      </w:pPr>
      <w:r w:rsidRPr="007F3904">
        <w:rPr>
          <w:rFonts w:cs="Arial"/>
          <w:b/>
        </w:rPr>
        <w:t>Performance criteria</w:t>
      </w:r>
    </w:p>
    <w:p w14:paraId="0A25E9A0" w14:textId="77777777" w:rsidR="007F3904" w:rsidRPr="007F3904" w:rsidRDefault="007F3904" w:rsidP="007F3904">
      <w:pPr>
        <w:keepNext/>
        <w:keepLines/>
        <w:rPr>
          <w:rFonts w:cs="Arial"/>
        </w:rPr>
      </w:pPr>
    </w:p>
    <w:p w14:paraId="0A25E9A1" w14:textId="77777777" w:rsidR="007F3904" w:rsidRPr="007F3904" w:rsidRDefault="007F3904" w:rsidP="007F3904">
      <w:pPr>
        <w:keepNext/>
        <w:keepLines/>
        <w:ind w:left="1134" w:hanging="1134"/>
        <w:rPr>
          <w:rFonts w:cs="Arial"/>
        </w:rPr>
      </w:pPr>
      <w:r w:rsidRPr="007F3904">
        <w:rPr>
          <w:rFonts w:cs="Arial"/>
        </w:rPr>
        <w:t>1.1</w:t>
      </w:r>
      <w:r w:rsidRPr="007F3904">
        <w:rPr>
          <w:rFonts w:cs="Arial"/>
        </w:rPr>
        <w:tab/>
        <w:t>The argument is presented and includes an introduction, body, and conclusion.</w:t>
      </w:r>
    </w:p>
    <w:p w14:paraId="0A25E9A2" w14:textId="77777777" w:rsidR="007F3904" w:rsidRPr="007F3904" w:rsidRDefault="007F3904" w:rsidP="007F3904">
      <w:pPr>
        <w:rPr>
          <w:rFonts w:cs="Arial"/>
        </w:rPr>
      </w:pPr>
    </w:p>
    <w:p w14:paraId="0A25E9A3" w14:textId="77777777" w:rsidR="007F3904" w:rsidRPr="007F3904" w:rsidRDefault="007F3904" w:rsidP="007F3904">
      <w:pPr>
        <w:ind w:left="2552" w:hanging="1412"/>
        <w:rPr>
          <w:rFonts w:cs="Arial"/>
        </w:rPr>
      </w:pPr>
      <w:r w:rsidRPr="007F3904">
        <w:rPr>
          <w:rFonts w:cs="Arial"/>
        </w:rPr>
        <w:t>Range</w:t>
      </w:r>
      <w:r w:rsidRPr="007F3904">
        <w:rPr>
          <w:rFonts w:cs="Arial"/>
        </w:rPr>
        <w:tab/>
        <w:t>the presentation must be at least five minutes.</w:t>
      </w:r>
    </w:p>
    <w:p w14:paraId="0A25E9A4" w14:textId="77777777" w:rsidR="007F3904" w:rsidRPr="007F3904" w:rsidRDefault="007F3904" w:rsidP="007F3904">
      <w:pPr>
        <w:ind w:left="1134" w:hanging="1134"/>
        <w:rPr>
          <w:rFonts w:cs="Arial"/>
        </w:rPr>
      </w:pPr>
    </w:p>
    <w:p w14:paraId="0A25E9A5" w14:textId="77777777" w:rsidR="007F3904" w:rsidRPr="007F3904" w:rsidRDefault="007F3904" w:rsidP="007F3904">
      <w:pPr>
        <w:ind w:left="1134" w:hanging="1134"/>
        <w:rPr>
          <w:rFonts w:cs="Arial"/>
        </w:rPr>
      </w:pPr>
      <w:r w:rsidRPr="007F3904">
        <w:rPr>
          <w:rFonts w:cs="Arial"/>
        </w:rPr>
        <w:t>1.2</w:t>
      </w:r>
      <w:r w:rsidRPr="007F3904">
        <w:rPr>
          <w:rFonts w:cs="Arial"/>
        </w:rPr>
        <w:tab/>
        <w:t>The line of argument is supported by evidence.</w:t>
      </w:r>
    </w:p>
    <w:p w14:paraId="0A25E9A6" w14:textId="77777777" w:rsidR="007F3904" w:rsidRPr="007F3904" w:rsidRDefault="007F3904" w:rsidP="007F3904">
      <w:pPr>
        <w:ind w:left="1134" w:hanging="1134"/>
        <w:rPr>
          <w:rFonts w:cs="Arial"/>
        </w:rPr>
      </w:pPr>
    </w:p>
    <w:p w14:paraId="0A25E9A7" w14:textId="77777777" w:rsidR="007F3904" w:rsidRPr="007F3904" w:rsidRDefault="007F3904" w:rsidP="007F3904">
      <w:pPr>
        <w:ind w:left="2551" w:hanging="1417"/>
        <w:rPr>
          <w:rFonts w:cs="Arial"/>
        </w:rPr>
      </w:pPr>
      <w:r w:rsidRPr="007F3904">
        <w:rPr>
          <w:rFonts w:cs="Arial"/>
        </w:rPr>
        <w:t>Range</w:t>
      </w:r>
      <w:r w:rsidRPr="007F3904">
        <w:rPr>
          <w:rFonts w:cs="Arial"/>
        </w:rPr>
        <w:tab/>
        <w:t>line of argument includes but is not limited to – personal analysis, interpretation of information.</w:t>
      </w:r>
    </w:p>
    <w:p w14:paraId="0A25E9A8" w14:textId="77777777" w:rsidR="007F3904" w:rsidRPr="007F3904" w:rsidRDefault="007F3904" w:rsidP="007F3904">
      <w:pPr>
        <w:rPr>
          <w:rFonts w:cs="Arial"/>
        </w:rPr>
      </w:pPr>
    </w:p>
    <w:p w14:paraId="0A25E9A9" w14:textId="3AC977D0" w:rsidR="007F3904" w:rsidRDefault="007F3904" w:rsidP="007F3904">
      <w:pPr>
        <w:ind w:left="1134" w:hanging="1134"/>
        <w:rPr>
          <w:rFonts w:cs="Arial"/>
        </w:rPr>
      </w:pPr>
      <w:r w:rsidRPr="007F3904">
        <w:rPr>
          <w:rFonts w:cs="Arial"/>
        </w:rPr>
        <w:t>1.3</w:t>
      </w:r>
      <w:r w:rsidRPr="007F3904">
        <w:rPr>
          <w:rFonts w:cs="Arial"/>
        </w:rPr>
        <w:tab/>
      </w:r>
      <w:r w:rsidR="00F83C17">
        <w:rPr>
          <w:rFonts w:cs="Arial"/>
        </w:rPr>
        <w:t>A</w:t>
      </w:r>
      <w:r w:rsidRPr="007F3904">
        <w:rPr>
          <w:rFonts w:cs="Arial"/>
        </w:rPr>
        <w:t xml:space="preserve">udio-visual aids </w:t>
      </w:r>
      <w:r w:rsidR="00F83C17">
        <w:rPr>
          <w:rFonts w:cs="Arial"/>
        </w:rPr>
        <w:t xml:space="preserve">are used to </w:t>
      </w:r>
      <w:r w:rsidRPr="007F3904">
        <w:rPr>
          <w:rFonts w:cs="Arial"/>
        </w:rPr>
        <w:t>explain subject matter and are integrated into the argument so that the flow is not interrupted.</w:t>
      </w:r>
    </w:p>
    <w:p w14:paraId="06FCC28C" w14:textId="77777777" w:rsidR="00F83C17" w:rsidRPr="007F3904" w:rsidRDefault="00F83C17" w:rsidP="007F3904">
      <w:pPr>
        <w:ind w:left="1134" w:hanging="1134"/>
        <w:rPr>
          <w:rFonts w:cs="Arial"/>
        </w:rPr>
      </w:pPr>
    </w:p>
    <w:p w14:paraId="0A25E9AB" w14:textId="3200F429" w:rsidR="007F3904" w:rsidRPr="007F3904" w:rsidRDefault="007F3904" w:rsidP="007F3904">
      <w:pPr>
        <w:ind w:left="1134" w:hanging="1134"/>
        <w:rPr>
          <w:rFonts w:cs="Arial"/>
        </w:rPr>
      </w:pPr>
      <w:r w:rsidRPr="007F3904">
        <w:rPr>
          <w:rFonts w:cs="Arial"/>
        </w:rPr>
        <w:t>1.4</w:t>
      </w:r>
      <w:r w:rsidRPr="007F3904">
        <w:rPr>
          <w:rFonts w:cs="Arial"/>
        </w:rPr>
        <w:tab/>
      </w:r>
      <w:r w:rsidRPr="00F83C17">
        <w:rPr>
          <w:rFonts w:cs="Arial"/>
        </w:rPr>
        <w:t>Alter</w:t>
      </w:r>
      <w:r w:rsidRPr="007F3904">
        <w:rPr>
          <w:rFonts w:cs="Arial"/>
        </w:rPr>
        <w:t>native views are compared with, and evaluated against, supporting evidence.</w:t>
      </w:r>
    </w:p>
    <w:p w14:paraId="0A25E9AC" w14:textId="77777777" w:rsidR="007F3904" w:rsidRPr="007F3904" w:rsidRDefault="007F3904" w:rsidP="007F3904">
      <w:pPr>
        <w:ind w:left="1134" w:hanging="1134"/>
        <w:rPr>
          <w:rFonts w:cs="Arial"/>
        </w:rPr>
      </w:pPr>
    </w:p>
    <w:p w14:paraId="0A25E9AD" w14:textId="77777777" w:rsidR="007F3904" w:rsidRPr="007F3904" w:rsidRDefault="007F3904" w:rsidP="007F3904">
      <w:pPr>
        <w:ind w:left="1134" w:hanging="1134"/>
        <w:rPr>
          <w:rFonts w:cs="Arial"/>
        </w:rPr>
      </w:pPr>
      <w:r w:rsidRPr="007F3904">
        <w:rPr>
          <w:rFonts w:cs="Arial"/>
        </w:rPr>
        <w:t>1.5</w:t>
      </w:r>
      <w:r w:rsidRPr="007F3904">
        <w:rPr>
          <w:rFonts w:cs="Arial"/>
        </w:rPr>
        <w:tab/>
        <w:t>Argument is defended.</w:t>
      </w:r>
    </w:p>
    <w:p w14:paraId="0A25E9AE" w14:textId="77777777" w:rsidR="007F3904" w:rsidRPr="007F3904" w:rsidRDefault="007F3904" w:rsidP="007F3904">
      <w:pPr>
        <w:ind w:left="1134" w:hanging="1134"/>
        <w:rPr>
          <w:rFonts w:cs="Arial"/>
        </w:rPr>
      </w:pPr>
    </w:p>
    <w:p w14:paraId="0A25E9AF" w14:textId="77777777" w:rsidR="007F3904" w:rsidRPr="007F3904" w:rsidRDefault="007F3904" w:rsidP="007F3904">
      <w:pPr>
        <w:tabs>
          <w:tab w:val="left" w:pos="2551"/>
        </w:tabs>
        <w:ind w:left="2551" w:hanging="1417"/>
        <w:rPr>
          <w:rFonts w:cs="Arial"/>
        </w:rPr>
      </w:pPr>
      <w:r w:rsidRPr="007F3904">
        <w:rPr>
          <w:rFonts w:cs="Arial"/>
        </w:rPr>
        <w:t>Range</w:t>
      </w:r>
      <w:r w:rsidRPr="007F3904">
        <w:rPr>
          <w:rFonts w:cs="Arial"/>
        </w:rPr>
        <w:tab/>
        <w:t>defence may include but is not limited to – analysed response, interpretation of information and ideas, examples, reasoned argument;</w:t>
      </w:r>
    </w:p>
    <w:p w14:paraId="0A25E9B0" w14:textId="77777777" w:rsidR="007F3904" w:rsidRPr="007F3904" w:rsidRDefault="007F3904" w:rsidP="007F3904">
      <w:pPr>
        <w:tabs>
          <w:tab w:val="left" w:pos="2551"/>
        </w:tabs>
        <w:ind w:left="2551" w:hanging="1417"/>
        <w:rPr>
          <w:rFonts w:cs="Arial"/>
        </w:rPr>
      </w:pPr>
      <w:r w:rsidRPr="007F3904">
        <w:rPr>
          <w:rFonts w:cs="Arial"/>
        </w:rPr>
        <w:tab/>
        <w:t>evidence of two is required.</w:t>
      </w:r>
    </w:p>
    <w:p w14:paraId="0A25E9B1" w14:textId="77777777" w:rsidR="007F3904" w:rsidRPr="007F3904" w:rsidRDefault="007F3904" w:rsidP="007F3904">
      <w:pPr>
        <w:rPr>
          <w:rFonts w:cs="Arial"/>
        </w:rPr>
      </w:pPr>
    </w:p>
    <w:p w14:paraId="0A25E9B2" w14:textId="69A385CF" w:rsidR="007F3904" w:rsidRPr="007F3904" w:rsidRDefault="007F3904" w:rsidP="007F3904">
      <w:pPr>
        <w:ind w:left="1134" w:hanging="1134"/>
        <w:rPr>
          <w:rFonts w:cs="Arial"/>
        </w:rPr>
      </w:pPr>
      <w:r w:rsidRPr="007F3904">
        <w:rPr>
          <w:rFonts w:cs="Arial"/>
        </w:rPr>
        <w:t>1.6</w:t>
      </w:r>
      <w:r w:rsidRPr="007F3904">
        <w:rPr>
          <w:rFonts w:cs="Arial"/>
        </w:rPr>
        <w:tab/>
        <w:t xml:space="preserve">Engagement with the audience is established and maintained using non-verbal communication, </w:t>
      </w:r>
      <w:r w:rsidR="00F83C17">
        <w:rPr>
          <w:rFonts w:cs="Arial"/>
        </w:rPr>
        <w:t xml:space="preserve">appropriate </w:t>
      </w:r>
      <w:r w:rsidRPr="007F3904">
        <w:rPr>
          <w:rFonts w:cs="Arial"/>
        </w:rPr>
        <w:t>language, and subject matter.</w:t>
      </w:r>
    </w:p>
    <w:p w14:paraId="0A25E9B3" w14:textId="77777777" w:rsidR="007F3904" w:rsidRPr="007F3904" w:rsidRDefault="007F3904" w:rsidP="007F3904">
      <w:pPr>
        <w:ind w:left="1134" w:hanging="1134"/>
        <w:rPr>
          <w:rFonts w:cs="Arial"/>
        </w:rPr>
      </w:pPr>
    </w:p>
    <w:p w14:paraId="0A25E9B4" w14:textId="77777777" w:rsidR="007F3904" w:rsidRPr="007F3904" w:rsidRDefault="007F3904" w:rsidP="007F3904">
      <w:pPr>
        <w:ind w:left="1134" w:hanging="1134"/>
        <w:rPr>
          <w:rFonts w:cs="Arial"/>
        </w:rPr>
      </w:pPr>
      <w:r w:rsidRPr="007F3904">
        <w:rPr>
          <w:rFonts w:cs="Arial"/>
        </w:rPr>
        <w:t>1.7</w:t>
      </w:r>
      <w:r w:rsidRPr="007F3904">
        <w:rPr>
          <w:rFonts w:cs="Arial"/>
        </w:rPr>
        <w:tab/>
        <w:t>Presentation and defence of argument are reviewed in terms of what went well and opportunities for future improvement.</w:t>
      </w:r>
    </w:p>
    <w:p w14:paraId="0A25E9B5" w14:textId="77777777" w:rsidR="00A73F41" w:rsidRDefault="00A73F41">
      <w:pPr>
        <w:tabs>
          <w:tab w:val="left" w:pos="1134"/>
          <w:tab w:val="left" w:pos="2552"/>
        </w:tabs>
        <w:ind w:left="1134" w:hanging="1134"/>
        <w:rPr>
          <w:rFonts w:cs="Arial"/>
        </w:rPr>
      </w:pPr>
    </w:p>
    <w:p w14:paraId="0A25E9B6" w14:textId="77777777" w:rsidR="00A73F41" w:rsidRDefault="00A73F41">
      <w:pPr>
        <w:pStyle w:val="StyleLeft0cmHanging2cm"/>
        <w:keepNext/>
        <w:pBdr>
          <w:top w:val="single" w:sz="24" w:space="1" w:color="C0C0C0"/>
        </w:pBdr>
        <w:ind w:left="1134" w:hanging="1134"/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6614"/>
      </w:tblGrid>
      <w:tr w:rsidR="00A73F41" w14:paraId="0A25E9BD" w14:textId="77777777" w:rsidTr="007C3871">
        <w:trPr>
          <w:cantSplit/>
        </w:trPr>
        <w:tc>
          <w:tcPr>
            <w:tcW w:w="3228" w:type="dxa"/>
            <w:shd w:val="clear" w:color="auto" w:fill="F3F3F3"/>
            <w:tcMar>
              <w:top w:w="170" w:type="dxa"/>
              <w:bottom w:w="170" w:type="dxa"/>
            </w:tcMar>
          </w:tcPr>
          <w:p w14:paraId="0A25E9BB" w14:textId="77777777" w:rsidR="00A73F41" w:rsidRDefault="00A73F41">
            <w:pPr>
              <w:pStyle w:val="StyleBoldBefore6ptAfter6pt"/>
              <w:keepNext/>
              <w:spacing w:before="0" w:after="0"/>
            </w:pPr>
            <w:r>
              <w:t>Planned review date</w:t>
            </w:r>
          </w:p>
        </w:tc>
        <w:tc>
          <w:tcPr>
            <w:tcW w:w="6614" w:type="dxa"/>
            <w:tcMar>
              <w:top w:w="170" w:type="dxa"/>
              <w:bottom w:w="170" w:type="dxa"/>
            </w:tcMar>
            <w:vAlign w:val="center"/>
          </w:tcPr>
          <w:p w14:paraId="0A25E9BC" w14:textId="611EFEBC" w:rsidR="00A73F41" w:rsidRDefault="007F3904">
            <w:pPr>
              <w:pStyle w:val="StyleBefore6ptAfter6pt"/>
              <w:spacing w:before="0" w:after="0"/>
            </w:pPr>
            <w:r>
              <w:t>31 December 202</w:t>
            </w:r>
            <w:r w:rsidR="007C3871">
              <w:t>6</w:t>
            </w:r>
          </w:p>
        </w:tc>
      </w:tr>
    </w:tbl>
    <w:p w14:paraId="0A25E9BE" w14:textId="77777777" w:rsidR="00A73F41" w:rsidRDefault="00A73F41"/>
    <w:p w14:paraId="0A25E9BF" w14:textId="77777777" w:rsidR="00A73F41" w:rsidRDefault="00A73F41">
      <w:pPr>
        <w:keepNext/>
        <w:shd w:val="clear" w:color="auto" w:fill="F3F3F3"/>
        <w:tabs>
          <w:tab w:val="left" w:pos="1134"/>
          <w:tab w:val="left" w:pos="2552"/>
        </w:tabs>
        <w:rPr>
          <w:rFonts w:cs="Arial"/>
          <w:b/>
        </w:rPr>
      </w:pPr>
      <w:r>
        <w:rPr>
          <w:rFonts w:cs="Arial"/>
          <w:b/>
        </w:rPr>
        <w:lastRenderedPageBreak/>
        <w:t>Status information and last date for assessment for superseded versions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1230"/>
        <w:gridCol w:w="3299"/>
        <w:gridCol w:w="3299"/>
      </w:tblGrid>
      <w:tr w:rsidR="00A73F41" w14:paraId="0A25E9C4" w14:textId="77777777">
        <w:trPr>
          <w:cantSplit/>
          <w:tblHeader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A25E9C0" w14:textId="77777777" w:rsidR="00A73F41" w:rsidRDefault="00A73F41">
            <w:pPr>
              <w:keepNext/>
              <w:keepLines/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Process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A25E9C1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Version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A25E9C2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Date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</w:tcPr>
          <w:p w14:paraId="0A25E9C3" w14:textId="77777777" w:rsidR="00A73F41" w:rsidRDefault="00A73F41">
            <w:pPr>
              <w:autoSpaceDE w:val="0"/>
              <w:autoSpaceDN w:val="0"/>
              <w:adjustRightInd w:val="0"/>
              <w:rPr>
                <w:rStyle w:val="StyleBold"/>
              </w:rPr>
            </w:pPr>
            <w:r>
              <w:rPr>
                <w:rStyle w:val="StyleBold"/>
              </w:rPr>
              <w:t>Last Date for Assessment</w:t>
            </w:r>
          </w:p>
        </w:tc>
      </w:tr>
      <w:tr w:rsidR="00A73F41" w14:paraId="0A25E9C9" w14:textId="77777777" w:rsidTr="007F3904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A25E9C5" w14:textId="77777777" w:rsidR="00A73F41" w:rsidRDefault="007F39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Registration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A25E9C6" w14:textId="77777777" w:rsidR="00A73F41" w:rsidRDefault="007F39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A25E9C7" w14:textId="77777777" w:rsidR="00A73F41" w:rsidRDefault="007F39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26 January 1995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A25E9C8" w14:textId="77777777" w:rsidR="00A73F41" w:rsidRDefault="007F39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2012</w:t>
            </w:r>
          </w:p>
        </w:tc>
      </w:tr>
      <w:tr w:rsidR="007F3904" w14:paraId="0A25E9CE" w14:textId="77777777" w:rsidTr="007F3904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A25E9CA" w14:textId="77777777" w:rsidR="007F3904" w:rsidRDefault="007F39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A25E9CB" w14:textId="77777777" w:rsidR="007F3904" w:rsidRDefault="007F39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A25E9CC" w14:textId="77777777" w:rsidR="007F3904" w:rsidRDefault="007F39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9 August 1996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A25E9CD" w14:textId="77777777" w:rsidR="007F3904" w:rsidRDefault="007F39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2012</w:t>
            </w:r>
          </w:p>
        </w:tc>
      </w:tr>
      <w:tr w:rsidR="007F3904" w14:paraId="0A25E9D3" w14:textId="77777777" w:rsidTr="007F3904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A25E9CF" w14:textId="77777777" w:rsidR="007F3904" w:rsidRDefault="007F39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A25E9D0" w14:textId="77777777" w:rsidR="007F3904" w:rsidRDefault="007F39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A25E9D1" w14:textId="77777777" w:rsidR="007F3904" w:rsidRDefault="007F39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24 March 1998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A25E9D2" w14:textId="77777777" w:rsidR="007F3904" w:rsidRDefault="007F39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2012</w:t>
            </w:r>
          </w:p>
        </w:tc>
      </w:tr>
      <w:tr w:rsidR="007F3904" w14:paraId="0A25E9D8" w14:textId="77777777" w:rsidTr="007F3904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A25E9D4" w14:textId="77777777" w:rsidR="007F3904" w:rsidRDefault="007F39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A25E9D5" w14:textId="77777777" w:rsidR="007F3904" w:rsidRDefault="007F39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A25E9D6" w14:textId="77777777" w:rsidR="007F3904" w:rsidRDefault="007F39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25 July 2006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A25E9D7" w14:textId="77777777" w:rsidR="007F3904" w:rsidRDefault="007F39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2013</w:t>
            </w:r>
          </w:p>
        </w:tc>
      </w:tr>
      <w:tr w:rsidR="007F3904" w14:paraId="0A25E9DD" w14:textId="77777777" w:rsidTr="007F3904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A25E9D9" w14:textId="77777777" w:rsidR="007F3904" w:rsidRDefault="007F39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A25E9DA" w14:textId="77777777" w:rsidR="007F3904" w:rsidRDefault="007F39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A25E9DB" w14:textId="77777777" w:rsidR="007F3904" w:rsidRDefault="007F39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17 November 2011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A25E9DC" w14:textId="77777777" w:rsidR="007F3904" w:rsidRDefault="007F39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2017</w:t>
            </w:r>
          </w:p>
        </w:tc>
      </w:tr>
      <w:tr w:rsidR="007F3904" w14:paraId="0A25E9E2" w14:textId="77777777" w:rsidTr="007F3904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A25E9DE" w14:textId="77777777" w:rsidR="007F3904" w:rsidRDefault="007F39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A25E9DF" w14:textId="77777777" w:rsidR="007F3904" w:rsidRDefault="007F39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A25E9E0" w14:textId="77777777" w:rsidR="007F3904" w:rsidRDefault="007F39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18 June 2015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A25E9E1" w14:textId="77777777" w:rsidR="007F3904" w:rsidRDefault="007F39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31 December 2020</w:t>
            </w:r>
          </w:p>
        </w:tc>
      </w:tr>
      <w:tr w:rsidR="007F3904" w14:paraId="0A25E9E7" w14:textId="77777777" w:rsidTr="007F3904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A25E9E3" w14:textId="77777777" w:rsidR="007F3904" w:rsidRDefault="007F39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A25E9E4" w14:textId="77777777" w:rsidR="007F3904" w:rsidRDefault="007F39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A25E9E5" w14:textId="77777777" w:rsidR="007F3904" w:rsidRDefault="007F39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16 February 2017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0A25E9E6" w14:textId="77777777" w:rsidR="007F3904" w:rsidRDefault="007F3904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  <w:tr w:rsidR="003358E6" w14:paraId="2F961B6B" w14:textId="77777777" w:rsidTr="007F3904">
        <w:trPr>
          <w:cantSplit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2AEEBCE3" w14:textId="0E479F89" w:rsidR="003358E6" w:rsidRDefault="003358E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Review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23D11733" w14:textId="6CC00643" w:rsidR="003358E6" w:rsidRDefault="003358E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2773C4FD" w14:textId="31B6053B" w:rsidR="003358E6" w:rsidRDefault="003358E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XXXX 2021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bottom w:w="60" w:type="dxa"/>
            </w:tcMar>
            <w:vAlign w:val="center"/>
          </w:tcPr>
          <w:p w14:paraId="1F58E000" w14:textId="7F06F457" w:rsidR="003358E6" w:rsidRDefault="003358E6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N/A</w:t>
            </w:r>
          </w:p>
        </w:tc>
      </w:tr>
    </w:tbl>
    <w:p w14:paraId="0A25E9E8" w14:textId="77777777" w:rsidR="00A73F41" w:rsidRDefault="00A73F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9"/>
        <w:gridCol w:w="2249"/>
      </w:tblGrid>
      <w:tr w:rsidR="00A73F41" w14:paraId="0A25E9EB" w14:textId="77777777" w:rsidTr="007F3904">
        <w:tc>
          <w:tcPr>
            <w:tcW w:w="7548" w:type="dxa"/>
            <w:shd w:val="clear" w:color="auto" w:fill="F3F3F3"/>
            <w:tcMar>
              <w:top w:w="60" w:type="dxa"/>
              <w:bottom w:w="60" w:type="dxa"/>
            </w:tcMar>
          </w:tcPr>
          <w:p w14:paraId="0A25E9E9" w14:textId="77777777" w:rsidR="00A73F41" w:rsidRDefault="00A73F41">
            <w:pPr>
              <w:pStyle w:val="StyleBoldBefore6ptAfter6pt"/>
              <w:keepNext/>
              <w:keepLines/>
              <w:spacing w:before="0" w:after="0"/>
            </w:pPr>
            <w:r>
              <w:t>Consent and Moderation Requirements (CMR) reference</w:t>
            </w:r>
          </w:p>
        </w:tc>
        <w:tc>
          <w:tcPr>
            <w:tcW w:w="2294" w:type="dxa"/>
            <w:tcMar>
              <w:top w:w="60" w:type="dxa"/>
              <w:bottom w:w="60" w:type="dxa"/>
            </w:tcMar>
            <w:vAlign w:val="center"/>
          </w:tcPr>
          <w:p w14:paraId="0A25E9EA" w14:textId="77777777" w:rsidR="00A73F41" w:rsidRDefault="007F3904">
            <w:pPr>
              <w:pStyle w:val="StyleBefore6ptAfter6pt"/>
              <w:keepNext/>
              <w:keepLines/>
              <w:spacing w:before="0" w:after="0"/>
            </w:pPr>
            <w:r>
              <w:t>0113</w:t>
            </w:r>
          </w:p>
        </w:tc>
      </w:tr>
    </w:tbl>
    <w:p w14:paraId="0A25E9EC" w14:textId="77777777" w:rsidR="00A73F41" w:rsidRDefault="00A73F41">
      <w:pPr>
        <w:keepNext/>
        <w:keepLines/>
        <w:rPr>
          <w:rFonts w:cs="Arial"/>
        </w:rPr>
      </w:pPr>
      <w:r>
        <w:rPr>
          <w:rFonts w:cs="Arial"/>
        </w:rPr>
        <w:t>This CMR can be accessed at</w:t>
      </w:r>
      <w:r w:rsidR="00E60CCA">
        <w:rPr>
          <w:rFonts w:cs="Arial"/>
        </w:rPr>
        <w:t xml:space="preserve"> </w:t>
      </w:r>
      <w:hyperlink r:id="rId7" w:history="1">
        <w:r>
          <w:rPr>
            <w:rStyle w:val="Hyperlink"/>
          </w:rPr>
          <w:t>http://www.nzqa.govt.nz/framework/search/index.do</w:t>
        </w:r>
      </w:hyperlink>
      <w:r>
        <w:rPr>
          <w:rFonts w:cs="Arial"/>
        </w:rPr>
        <w:t>.</w:t>
      </w:r>
    </w:p>
    <w:p w14:paraId="0A25E9ED" w14:textId="77777777" w:rsidR="00A73F41" w:rsidRDefault="00A73F41"/>
    <w:p w14:paraId="0A25E9EE" w14:textId="77777777" w:rsidR="00A73F41" w:rsidRDefault="00A73F41">
      <w:pPr>
        <w:keepNext/>
        <w:keepLines/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>Comments on this unit standard</w:t>
      </w:r>
    </w:p>
    <w:p w14:paraId="0A25E9EF" w14:textId="77777777" w:rsidR="00A73F41" w:rsidRDefault="00A73F41">
      <w:pPr>
        <w:keepNext/>
        <w:keepLines/>
      </w:pPr>
    </w:p>
    <w:p w14:paraId="47DFCC6F" w14:textId="77777777" w:rsidR="00415629" w:rsidRDefault="00415629" w:rsidP="00415629">
      <w:pPr>
        <w:keepNext/>
        <w:keepLines/>
      </w:pPr>
      <w:r w:rsidRPr="00D0265A">
        <w:rPr>
          <w:rFonts w:cs="Arial"/>
        </w:rPr>
        <w:t xml:space="preserve">Please contact NZQA National Qualifications Services </w:t>
      </w:r>
      <w:hyperlink r:id="rId8" w:history="1">
        <w:r w:rsidRPr="00D0265A">
          <w:rPr>
            <w:rStyle w:val="Hyperlink"/>
            <w:rFonts w:cs="Arial"/>
          </w:rPr>
          <w:t>nqs@nzqa.govt.nz</w:t>
        </w:r>
      </w:hyperlink>
      <w:r w:rsidRPr="00D0265A">
        <w:rPr>
          <w:rFonts w:cs="Arial"/>
        </w:rPr>
        <w:t xml:space="preserve"> if you wish to suggest changes to the content of this unit standard.</w:t>
      </w:r>
    </w:p>
    <w:p w14:paraId="0A25E9F0" w14:textId="5DD4CD96" w:rsidR="00A73F41" w:rsidRDefault="00A73F41" w:rsidP="00415629">
      <w:pPr>
        <w:keepNext/>
        <w:keepLines/>
      </w:pPr>
    </w:p>
    <w:sectPr w:rsidR="00A73F41">
      <w:headerReference w:type="default" r:id="rId9"/>
      <w:footerReference w:type="default" r:id="rId10"/>
      <w:pgSz w:w="11906" w:h="16838" w:code="9"/>
      <w:pgMar w:top="1134" w:right="1134" w:bottom="1134" w:left="1134" w:header="369" w:footer="369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BF464" w14:textId="77777777" w:rsidR="00544200" w:rsidRDefault="00544200">
      <w:r>
        <w:separator/>
      </w:r>
    </w:p>
  </w:endnote>
  <w:endnote w:type="continuationSeparator" w:id="0">
    <w:p w14:paraId="4555AE43" w14:textId="77777777" w:rsidR="00544200" w:rsidRDefault="0054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19"/>
      <w:gridCol w:w="4819"/>
    </w:tblGrid>
    <w:tr w:rsidR="00A73F41" w14:paraId="0A25E9FF" w14:textId="77777777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0A25E9FC" w14:textId="77777777" w:rsidR="00A73F41" w:rsidRPr="007F3904" w:rsidRDefault="007F3904">
          <w:pPr>
            <w:rPr>
              <w:bCs/>
              <w:iCs/>
              <w:sz w:val="20"/>
            </w:rPr>
          </w:pPr>
          <w:r w:rsidRPr="007F3904">
            <w:rPr>
              <w:bCs/>
              <w:iCs/>
              <w:sz w:val="20"/>
            </w:rPr>
            <w:t>NZQA National Qualifications Services</w:t>
          </w:r>
        </w:p>
        <w:p w14:paraId="0A25E9FD" w14:textId="77777777" w:rsidR="00A73F41" w:rsidRPr="007F3904" w:rsidRDefault="00A73F41">
          <w:pPr>
            <w:rPr>
              <w:bCs/>
              <w:sz w:val="20"/>
            </w:rPr>
          </w:pPr>
          <w:r w:rsidRPr="007F3904">
            <w:rPr>
              <w:bCs/>
              <w:iCs/>
              <w:sz w:val="20"/>
            </w:rPr>
            <w:t xml:space="preserve">SSB Code </w:t>
          </w:r>
          <w:r w:rsidR="007F3904" w:rsidRPr="007F3904">
            <w:rPr>
              <w:bCs/>
              <w:iCs/>
              <w:sz w:val="20"/>
            </w:rPr>
            <w:t>130301</w:t>
          </w: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0A25E9FE" w14:textId="588F4A06" w:rsidR="00A73F41" w:rsidRDefault="00A73F41">
          <w:pPr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SYMBOL 211 \f "Symbol"</w:instrText>
          </w:r>
          <w:r>
            <w:rPr>
              <w:bCs/>
              <w:sz w:val="20"/>
            </w:rPr>
            <w:fldChar w:fldCharType="end"/>
          </w:r>
          <w:r>
            <w:rPr>
              <w:bCs/>
              <w:sz w:val="20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bCs/>
                  <w:sz w:val="20"/>
                </w:rPr>
                <w:t>New Zealand</w:t>
              </w:r>
            </w:smartTag>
          </w:smartTag>
          <w:r>
            <w:rPr>
              <w:bCs/>
              <w:sz w:val="20"/>
            </w:rPr>
            <w:t xml:space="preserve"> Qualifications Authority </w:t>
          </w:r>
          <w:r>
            <w:rPr>
              <w:bCs/>
              <w:sz w:val="20"/>
            </w:rPr>
            <w:fldChar w:fldCharType="begin"/>
          </w:r>
          <w:r>
            <w:rPr>
              <w:bCs/>
              <w:sz w:val="20"/>
            </w:rPr>
            <w:instrText>date \@ "yyyy"</w:instrText>
          </w:r>
          <w:r>
            <w:rPr>
              <w:bCs/>
              <w:sz w:val="20"/>
            </w:rPr>
            <w:fldChar w:fldCharType="separate"/>
          </w:r>
          <w:r w:rsidR="00C338A8">
            <w:rPr>
              <w:bCs/>
              <w:noProof/>
              <w:sz w:val="20"/>
            </w:rPr>
            <w:t>2021</w:t>
          </w:r>
          <w:r>
            <w:rPr>
              <w:bCs/>
              <w:sz w:val="20"/>
            </w:rPr>
            <w:fldChar w:fldCharType="end"/>
          </w:r>
        </w:p>
      </w:tc>
    </w:tr>
  </w:tbl>
  <w:p w14:paraId="0A25EA00" w14:textId="77777777" w:rsidR="00A73F41" w:rsidRDefault="00A73F41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CD7E5" w14:textId="77777777" w:rsidR="00544200" w:rsidRDefault="00544200">
      <w:r>
        <w:separator/>
      </w:r>
    </w:p>
  </w:footnote>
  <w:footnote w:type="continuationSeparator" w:id="0">
    <w:p w14:paraId="0C284907" w14:textId="77777777" w:rsidR="00544200" w:rsidRDefault="00544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4822"/>
      <w:gridCol w:w="4816"/>
    </w:tblGrid>
    <w:tr w:rsidR="00A73F41" w14:paraId="0A25E9F7" w14:textId="77777777" w:rsidTr="001F54BA">
      <w:tc>
        <w:tcPr>
          <w:tcW w:w="4927" w:type="dxa"/>
          <w:shd w:val="clear" w:color="auto" w:fill="auto"/>
        </w:tcPr>
        <w:p w14:paraId="0A25E9F5" w14:textId="77777777" w:rsidR="00A73F41" w:rsidRDefault="007F3904">
          <w:r>
            <w:t>NZQA proposed unit standard</w:t>
          </w:r>
        </w:p>
      </w:tc>
      <w:tc>
        <w:tcPr>
          <w:tcW w:w="4927" w:type="dxa"/>
          <w:shd w:val="clear" w:color="auto" w:fill="auto"/>
        </w:tcPr>
        <w:p w14:paraId="0A25E9F6" w14:textId="415149E4" w:rsidR="00A73F41" w:rsidRDefault="007F3904" w:rsidP="001F54BA">
          <w:pPr>
            <w:jc w:val="right"/>
          </w:pPr>
          <w:r>
            <w:t xml:space="preserve">1311 version </w:t>
          </w:r>
          <w:r w:rsidR="00415629">
            <w:t>8</w:t>
          </w:r>
        </w:p>
      </w:tc>
    </w:tr>
    <w:tr w:rsidR="00A73F41" w14:paraId="0A25E9FA" w14:textId="77777777" w:rsidTr="001F54BA">
      <w:tc>
        <w:tcPr>
          <w:tcW w:w="4927" w:type="dxa"/>
          <w:shd w:val="clear" w:color="auto" w:fill="auto"/>
        </w:tcPr>
        <w:p w14:paraId="0A25E9F8" w14:textId="77777777" w:rsidR="00A73F41" w:rsidRDefault="00A73F41"/>
      </w:tc>
      <w:tc>
        <w:tcPr>
          <w:tcW w:w="4927" w:type="dxa"/>
          <w:shd w:val="clear" w:color="auto" w:fill="auto"/>
        </w:tcPr>
        <w:p w14:paraId="0A25E9F9" w14:textId="77777777" w:rsidR="00A73F41" w:rsidRDefault="00A73F41" w:rsidP="001F54BA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149DD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7B66FC">
            <w:fldChar w:fldCharType="begin"/>
          </w:r>
          <w:r w:rsidR="007B66FC">
            <w:instrText xml:space="preserve"> numpages </w:instrText>
          </w:r>
          <w:r w:rsidR="007B66FC">
            <w:fldChar w:fldCharType="separate"/>
          </w:r>
          <w:r w:rsidR="009149DD">
            <w:rPr>
              <w:noProof/>
            </w:rPr>
            <w:t>2</w:t>
          </w:r>
          <w:r w:rsidR="007B66FC">
            <w:rPr>
              <w:noProof/>
            </w:rPr>
            <w:fldChar w:fldCharType="end"/>
          </w:r>
        </w:p>
      </w:tc>
    </w:tr>
  </w:tbl>
  <w:sdt>
    <w:sdtPr>
      <w:id w:val="1056284588"/>
      <w:docPartObj>
        <w:docPartGallery w:val="Watermarks"/>
        <w:docPartUnique/>
      </w:docPartObj>
    </w:sdtPr>
    <w:sdtEndPr/>
    <w:sdtContent>
      <w:p w14:paraId="0A25E9FB" w14:textId="1CCA7F1C" w:rsidR="00A73F41" w:rsidRDefault="00C338A8">
        <w:pPr>
          <w:jc w:val="right"/>
        </w:pPr>
        <w:r>
          <w:rPr>
            <w:noProof/>
          </w:rPr>
          <w:pict w14:anchorId="21305D0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14035"/>
    <w:multiLevelType w:val="hybridMultilevel"/>
    <w:tmpl w:val="C1EC1714"/>
    <w:lvl w:ilvl="0" w:tplc="0C0A316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7753"/>
    <w:multiLevelType w:val="multilevel"/>
    <w:tmpl w:val="3A902FF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041C4"/>
    <w:multiLevelType w:val="hybridMultilevel"/>
    <w:tmpl w:val="592EA7D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4D8A"/>
    <w:multiLevelType w:val="hybridMultilevel"/>
    <w:tmpl w:val="E9A4FE72"/>
    <w:lvl w:ilvl="0" w:tplc="8DD486FA">
      <w:start w:val="1"/>
      <w:numFmt w:val="decimal"/>
      <w:lvlText w:val="%1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C6270"/>
    <w:multiLevelType w:val="multilevel"/>
    <w:tmpl w:val="A490B1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F145F"/>
    <w:multiLevelType w:val="hybridMultilevel"/>
    <w:tmpl w:val="5254C796"/>
    <w:lvl w:ilvl="0" w:tplc="C6B2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71D93"/>
    <w:multiLevelType w:val="hybridMultilevel"/>
    <w:tmpl w:val="7AA46CA0"/>
    <w:lvl w:ilvl="0" w:tplc="4E7C6FF4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60538"/>
    <w:multiLevelType w:val="hybridMultilevel"/>
    <w:tmpl w:val="40B24F30"/>
    <w:lvl w:ilvl="0" w:tplc="FF562F6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9F2EC6"/>
    <w:multiLevelType w:val="hybridMultilevel"/>
    <w:tmpl w:val="36F4A094"/>
    <w:lvl w:ilvl="0" w:tplc="2AC4F5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B5148"/>
    <w:multiLevelType w:val="multilevel"/>
    <w:tmpl w:val="4C92E16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0" w15:restartNumberingAfterBreak="0">
    <w:nsid w:val="388B5973"/>
    <w:multiLevelType w:val="multilevel"/>
    <w:tmpl w:val="467C56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854"/>
        </w:tabs>
        <w:ind w:left="1417" w:hanging="283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1" w15:restartNumberingAfterBreak="0">
    <w:nsid w:val="3DB50F15"/>
    <w:multiLevelType w:val="hybridMultilevel"/>
    <w:tmpl w:val="9CDAEBD4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955CF"/>
    <w:multiLevelType w:val="multilevel"/>
    <w:tmpl w:val="62BC477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</w:rPr>
    </w:lvl>
    <w:lvl w:ilvl="3">
      <w:start w:val="1"/>
      <w:numFmt w:val="lowerRoman"/>
      <w:lvlText w:val="%4"/>
      <w:lvlJc w:val="left"/>
      <w:pPr>
        <w:tabs>
          <w:tab w:val="num" w:pos="1491"/>
        </w:tabs>
        <w:ind w:left="2058" w:hanging="924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3" w15:restartNumberingAfterBreak="0">
    <w:nsid w:val="48A41197"/>
    <w:multiLevelType w:val="hybridMultilevel"/>
    <w:tmpl w:val="216C6DBE"/>
    <w:lvl w:ilvl="0" w:tplc="650293EA">
      <w:start w:val="1"/>
      <w:numFmt w:val="bullet"/>
      <w:lvlRestart w:val="0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F1F11"/>
    <w:multiLevelType w:val="multilevel"/>
    <w:tmpl w:val="36F4A0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B29A7"/>
    <w:multiLevelType w:val="hybridMultilevel"/>
    <w:tmpl w:val="547A2138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A23A8"/>
    <w:multiLevelType w:val="hybridMultilevel"/>
    <w:tmpl w:val="34920D3C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043F8"/>
    <w:multiLevelType w:val="hybridMultilevel"/>
    <w:tmpl w:val="818E9A96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14E17"/>
    <w:multiLevelType w:val="hybridMultilevel"/>
    <w:tmpl w:val="F78E8A0C"/>
    <w:lvl w:ilvl="0" w:tplc="E500DB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33AAE"/>
    <w:multiLevelType w:val="hybridMultilevel"/>
    <w:tmpl w:val="A89A9ADE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403F7"/>
    <w:multiLevelType w:val="hybridMultilevel"/>
    <w:tmpl w:val="A266A8AC"/>
    <w:lvl w:ilvl="0" w:tplc="C5561B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822C6"/>
    <w:multiLevelType w:val="hybridMultilevel"/>
    <w:tmpl w:val="7B6EC18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A039A"/>
    <w:multiLevelType w:val="hybridMultilevel"/>
    <w:tmpl w:val="9420F9FC"/>
    <w:lvl w:ilvl="0" w:tplc="62CC8996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F1A22"/>
    <w:multiLevelType w:val="hybridMultilevel"/>
    <w:tmpl w:val="7F58CB90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42E08"/>
    <w:multiLevelType w:val="hybridMultilevel"/>
    <w:tmpl w:val="5E52027A"/>
    <w:lvl w:ilvl="0" w:tplc="438CD1F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036DF"/>
    <w:multiLevelType w:val="hybridMultilevel"/>
    <w:tmpl w:val="95929E9C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35621"/>
    <w:multiLevelType w:val="hybridMultilevel"/>
    <w:tmpl w:val="CF50B43A"/>
    <w:lvl w:ilvl="0" w:tplc="0268D128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3275D"/>
    <w:multiLevelType w:val="multilevel"/>
    <w:tmpl w:val="B2C6C54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4"/>
  </w:num>
  <w:num w:numId="5">
    <w:abstractNumId w:val="0"/>
  </w:num>
  <w:num w:numId="6">
    <w:abstractNumId w:val="20"/>
  </w:num>
  <w:num w:numId="7">
    <w:abstractNumId w:val="16"/>
  </w:num>
  <w:num w:numId="8">
    <w:abstractNumId w:val="2"/>
  </w:num>
  <w:num w:numId="9">
    <w:abstractNumId w:val="19"/>
  </w:num>
  <w:num w:numId="10">
    <w:abstractNumId w:val="15"/>
  </w:num>
  <w:num w:numId="11">
    <w:abstractNumId w:val="24"/>
  </w:num>
  <w:num w:numId="12">
    <w:abstractNumId w:val="13"/>
  </w:num>
  <w:num w:numId="13">
    <w:abstractNumId w:val="17"/>
  </w:num>
  <w:num w:numId="14">
    <w:abstractNumId w:val="22"/>
  </w:num>
  <w:num w:numId="15">
    <w:abstractNumId w:val="11"/>
  </w:num>
  <w:num w:numId="16">
    <w:abstractNumId w:val="25"/>
  </w:num>
  <w:num w:numId="17">
    <w:abstractNumId w:val="10"/>
  </w:num>
  <w:num w:numId="18">
    <w:abstractNumId w:val="27"/>
  </w:num>
  <w:num w:numId="19">
    <w:abstractNumId w:val="4"/>
  </w:num>
  <w:num w:numId="20">
    <w:abstractNumId w:val="1"/>
  </w:num>
  <w:num w:numId="21">
    <w:abstractNumId w:val="21"/>
  </w:num>
  <w:num w:numId="22">
    <w:abstractNumId w:val="12"/>
  </w:num>
  <w:num w:numId="23">
    <w:abstractNumId w:val="7"/>
  </w:num>
  <w:num w:numId="24">
    <w:abstractNumId w:val="9"/>
  </w:num>
  <w:num w:numId="25">
    <w:abstractNumId w:val="23"/>
  </w:num>
  <w:num w:numId="26">
    <w:abstractNumId w:val="26"/>
  </w:num>
  <w:num w:numId="27">
    <w:abstractNumId w:val="1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activeWritingStyle w:appName="MSWord" w:lang="en-GB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NZ" w:vendorID="64" w:dllVersion="0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B2"/>
    <w:rsid w:val="00147F70"/>
    <w:rsid w:val="001C641D"/>
    <w:rsid w:val="001F54BA"/>
    <w:rsid w:val="00250047"/>
    <w:rsid w:val="002679DA"/>
    <w:rsid w:val="002938F5"/>
    <w:rsid w:val="002F1EF6"/>
    <w:rsid w:val="003358E6"/>
    <w:rsid w:val="00362140"/>
    <w:rsid w:val="003A28D4"/>
    <w:rsid w:val="003B10A8"/>
    <w:rsid w:val="00415629"/>
    <w:rsid w:val="00544200"/>
    <w:rsid w:val="00645244"/>
    <w:rsid w:val="00684ECF"/>
    <w:rsid w:val="006E3E7E"/>
    <w:rsid w:val="007B66FC"/>
    <w:rsid w:val="007C3871"/>
    <w:rsid w:val="007F3904"/>
    <w:rsid w:val="008037A1"/>
    <w:rsid w:val="00815723"/>
    <w:rsid w:val="00881417"/>
    <w:rsid w:val="00884BFC"/>
    <w:rsid w:val="008E3D2D"/>
    <w:rsid w:val="009149DD"/>
    <w:rsid w:val="00941E06"/>
    <w:rsid w:val="0096567B"/>
    <w:rsid w:val="00973DB2"/>
    <w:rsid w:val="009A611F"/>
    <w:rsid w:val="00A70C58"/>
    <w:rsid w:val="00A73F41"/>
    <w:rsid w:val="00A76881"/>
    <w:rsid w:val="00AA3CAA"/>
    <w:rsid w:val="00AE271B"/>
    <w:rsid w:val="00B24008"/>
    <w:rsid w:val="00BD7532"/>
    <w:rsid w:val="00BF6848"/>
    <w:rsid w:val="00C338A8"/>
    <w:rsid w:val="00C373DB"/>
    <w:rsid w:val="00CA1A23"/>
    <w:rsid w:val="00E60CCA"/>
    <w:rsid w:val="00E61432"/>
    <w:rsid w:val="00EC7DC2"/>
    <w:rsid w:val="00EE3E61"/>
    <w:rsid w:val="00F83C17"/>
    <w:rsid w:val="00F9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4:docId w14:val="0A25E967"/>
  <w15:chartTrackingRefBased/>
  <w15:docId w15:val="{138603A9-483F-49F1-8B13-0E1D5987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cs="Arial"/>
      <w:b/>
      <w:bCs/>
      <w:sz w:val="28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StyleBlackBefore6ptAfter6pt">
    <w:name w:val="Style Black Before:  6 pt After:  6 pt"/>
    <w:basedOn w:val="Normal"/>
    <w:pPr>
      <w:spacing w:before="120" w:after="120"/>
    </w:pPr>
  </w:style>
  <w:style w:type="paragraph" w:customStyle="1" w:styleId="StyleLeft0cmHanging2cmTopSinglesolidlineAuto">
    <w:name w:val="Style Left:  0 cm Hanging:  2 cm Top: (Single solid line Auto..."/>
    <w:basedOn w:val="Normal"/>
    <w:pPr>
      <w:pBdr>
        <w:top w:val="single" w:sz="4" w:space="1" w:color="auto"/>
      </w:pBdr>
      <w:tabs>
        <w:tab w:val="left" w:pos="1134"/>
      </w:tabs>
      <w:ind w:left="1123" w:hanging="1123"/>
    </w:pPr>
  </w:style>
  <w:style w:type="character" w:styleId="Hyperlink">
    <w:name w:val="Hyperlink"/>
    <w:rPr>
      <w:color w:val="0000FF"/>
      <w:u w:val="single"/>
    </w:rPr>
  </w:style>
  <w:style w:type="paragraph" w:customStyle="1" w:styleId="StyleLeft0cmHanging2cm">
    <w:name w:val="Style Left:  0 cm Hanging:  2 cm"/>
    <w:basedOn w:val="Normal"/>
    <w:pPr>
      <w:tabs>
        <w:tab w:val="left" w:pos="1134"/>
        <w:tab w:val="left" w:pos="2552"/>
      </w:tabs>
      <w:ind w:left="1123" w:hanging="1123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Before6ptAfter6pt">
    <w:name w:val="Style Before:  6 pt After:  6 pt"/>
    <w:basedOn w:val="Normal"/>
    <w:pPr>
      <w:spacing w:before="120" w:after="120"/>
    </w:pPr>
  </w:style>
  <w:style w:type="paragraph" w:customStyle="1" w:styleId="StyleBoldBefore6ptAfter6pt">
    <w:name w:val="Style Bold Before:  6 pt After:  6 pt"/>
    <w:basedOn w:val="Normal"/>
    <w:pPr>
      <w:spacing w:before="120" w:after="120"/>
    </w:pPr>
    <w:rPr>
      <w:b/>
      <w:bCs/>
    </w:rPr>
  </w:style>
  <w:style w:type="paragraph" w:customStyle="1" w:styleId="StyleBoldBefore6ptAfter6pt1">
    <w:name w:val="Style Bold Before:  6 pt After:  6 pt1"/>
    <w:basedOn w:val="Normal"/>
    <w:pPr>
      <w:spacing w:before="120" w:after="120"/>
    </w:pPr>
    <w:rPr>
      <w:color w:val="00000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Bold">
    <w:name w:val="Style Bold"/>
    <w:rPr>
      <w:b/>
      <w:bCs/>
      <w:color w:val="auto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styleId="BodyText">
    <w:name w:val="Body Text"/>
    <w:basedOn w:val="Normal"/>
    <w:pPr>
      <w:spacing w:after="1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sid w:val="00E60CCA"/>
    <w:rPr>
      <w:rFonts w:ascii="Arial" w:hAnsi="Arial"/>
      <w:sz w:val="24"/>
      <w:lang w:eastAsia="en-US"/>
    </w:rPr>
  </w:style>
  <w:style w:type="character" w:customStyle="1" w:styleId="public-draftstyledefault-block">
    <w:name w:val="public-draftstyledefault-block"/>
    <w:basedOn w:val="DefaultParagraphFont"/>
    <w:rsid w:val="009A6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qs@nzqa.govt.n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zqa.govt.nz/framework/search/index.d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NZQA</Company>
  <LinksUpToDate>false</LinksUpToDate>
  <CharactersWithSpaces>3939</CharactersWithSpaces>
  <SharedDoc>false</SharedDoc>
  <HLinks>
    <vt:vector size="6" baseType="variant">
      <vt:variant>
        <vt:i4>1769491</vt:i4>
      </vt:variant>
      <vt:variant>
        <vt:i4>0</vt:i4>
      </vt:variant>
      <vt:variant>
        <vt:i4>0</vt:i4>
      </vt:variant>
      <vt:variant>
        <vt:i4>5</vt:i4>
      </vt:variant>
      <vt:variant>
        <vt:lpwstr>http://www.nzqa.govt.nz/framework/search/index.do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George Cochrane</dc:creator>
  <cp:keywords/>
  <cp:lastModifiedBy>Dawn McGrigor</cp:lastModifiedBy>
  <cp:revision>12</cp:revision>
  <cp:lastPrinted>2010-06-03T23:16:00Z</cp:lastPrinted>
  <dcterms:created xsi:type="dcterms:W3CDTF">2021-01-11T01:10:00Z</dcterms:created>
  <dcterms:modified xsi:type="dcterms:W3CDTF">2021-10-26T02:31:00Z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Type">
    <vt:lpwstr>UnitReg</vt:lpwstr>
  </property>
  <property fmtid="{D5CDD505-2E9C-101B-9397-08002B2CF9AE}" pid="3" name="_TemplateVersion">
    <vt:i4>3</vt:i4>
  </property>
  <property fmtid="{D5CDD505-2E9C-101B-9397-08002B2CF9AE}" pid="4" name="_TemplateLanguage">
    <vt:lpwstr>English</vt:lpwstr>
  </property>
  <property fmtid="{D5CDD505-2E9C-101B-9397-08002B2CF9AE}" pid="5" name="_ReviewingToolsShownOnce">
    <vt:lpwstr/>
  </property>
</Properties>
</file>