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3BC84797" w14:textId="77777777" w:rsidTr="00966AC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BC84795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BC84796" w14:textId="62F3F418" w:rsidR="00A73F41" w:rsidRDefault="00966AC1">
            <w:pPr>
              <w:rPr>
                <w:b/>
              </w:rPr>
            </w:pPr>
            <w:r>
              <w:rPr>
                <w:b/>
              </w:rPr>
              <w:t>Read texts to research information</w:t>
            </w:r>
            <w:r w:rsidR="00226BE6">
              <w:rPr>
                <w:b/>
              </w:rPr>
              <w:t xml:space="preserve"> </w:t>
            </w:r>
            <w:r w:rsidR="00226BE6" w:rsidRPr="0086136B">
              <w:rPr>
                <w:rFonts w:cs="Arial"/>
                <w:b/>
                <w:bCs/>
              </w:rPr>
              <w:t>for a specific purpose</w:t>
            </w:r>
          </w:p>
        </w:tc>
      </w:tr>
      <w:tr w:rsidR="00A73F41" w14:paraId="3BC8479C" w14:textId="77777777" w:rsidTr="00966AC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BC84798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3BC84799" w14:textId="77777777" w:rsidR="00A73F41" w:rsidRDefault="00966A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BC8479A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3BC8479B" w14:textId="77777777" w:rsidR="00A73F41" w:rsidRDefault="00966A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3BC8479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BC847A0" w14:textId="77777777" w:rsidTr="00966AC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BC8479E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BC8479F" w14:textId="4246BF1A" w:rsidR="00A73F41" w:rsidRDefault="00966AC1">
            <w:r>
              <w:t>People credited with this unit standard are able to read texts to research information</w:t>
            </w:r>
            <w:r w:rsidR="0086136B">
              <w:rPr>
                <w:rFonts w:cs="Arial"/>
              </w:rPr>
              <w:t xml:space="preserve"> for a specific purpose</w:t>
            </w:r>
            <w:r>
              <w:t>.</w:t>
            </w:r>
          </w:p>
        </w:tc>
      </w:tr>
    </w:tbl>
    <w:p w14:paraId="3BC847A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BC847A4" w14:textId="77777777" w:rsidTr="00966AC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BC847A2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BC847A3" w14:textId="77777777" w:rsidR="00A73F41" w:rsidRDefault="00966AC1">
            <w:r>
              <w:t>Communication Skills &gt; Reading</w:t>
            </w:r>
          </w:p>
        </w:tc>
      </w:tr>
    </w:tbl>
    <w:p w14:paraId="3BC847A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BC847A8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BC847A6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BC847A7" w14:textId="5EF487C8" w:rsidR="00A73F41" w:rsidRDefault="00847A01">
            <w:r>
              <w:t>Achieved</w:t>
            </w:r>
          </w:p>
        </w:tc>
      </w:tr>
    </w:tbl>
    <w:p w14:paraId="3BC847B5" w14:textId="77777777" w:rsidR="00A73F41" w:rsidRDefault="00A73F41">
      <w:pPr>
        <w:rPr>
          <w:rFonts w:cs="Arial"/>
        </w:rPr>
      </w:pPr>
    </w:p>
    <w:p w14:paraId="3BC847B6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BC847B7" w14:textId="77777777" w:rsidR="00A73F41" w:rsidRDefault="00A73F41" w:rsidP="00F8612E">
      <w:pPr>
        <w:tabs>
          <w:tab w:val="left" w:pos="567"/>
        </w:tabs>
        <w:ind w:left="567" w:hanging="567"/>
        <w:rPr>
          <w:rFonts w:cs="Arial"/>
        </w:rPr>
      </w:pPr>
    </w:p>
    <w:p w14:paraId="3BC847B8" w14:textId="23DF366B" w:rsidR="00A73F41" w:rsidRDefault="00846728" w:rsidP="00F8612E">
      <w:pPr>
        <w:pStyle w:val="StyleBefore6ptAfter6pt"/>
        <w:spacing w:before="0" w:after="0"/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9C194F" w:rsidRPr="009C194F">
        <w:rPr>
          <w:rFonts w:cs="Arial"/>
        </w:rPr>
        <w:t xml:space="preserve">Texts must be written (not visual or oral) and can be </w:t>
      </w:r>
      <w:r w:rsidR="001803BC">
        <w:rPr>
          <w:rFonts w:cs="Arial"/>
        </w:rPr>
        <w:t>soft</w:t>
      </w:r>
      <w:r w:rsidR="001803BC" w:rsidRPr="009C194F">
        <w:rPr>
          <w:rFonts w:cs="Arial"/>
        </w:rPr>
        <w:t xml:space="preserve"> </w:t>
      </w:r>
      <w:r w:rsidR="009C194F" w:rsidRPr="009C194F">
        <w:rPr>
          <w:rFonts w:cs="Arial"/>
        </w:rPr>
        <w:t>or hard copy.  They must be of sufficient length and complexity to provide adequate evidence of competence.</w:t>
      </w:r>
      <w:r w:rsidR="00BE34E5">
        <w:rPr>
          <w:rFonts w:cs="Arial"/>
        </w:rPr>
        <w:t xml:space="preserve">  </w:t>
      </w:r>
      <w:r w:rsidR="00BE34E5" w:rsidRPr="005B7191">
        <w:rPr>
          <w:rFonts w:cs="Arial"/>
        </w:rPr>
        <w:t>Texts must be identified and/or submitted for moderation purposes.</w:t>
      </w:r>
    </w:p>
    <w:p w14:paraId="5EFD5A78" w14:textId="38848A48" w:rsidR="001803BC" w:rsidRDefault="001803BC" w:rsidP="00F8612E">
      <w:pPr>
        <w:pStyle w:val="StyleBefore6ptAfter6pt"/>
        <w:spacing w:before="0" w:after="0"/>
        <w:ind w:left="567" w:hanging="567"/>
        <w:rPr>
          <w:rFonts w:cs="Arial"/>
        </w:rPr>
      </w:pPr>
    </w:p>
    <w:p w14:paraId="0D3A7F9D" w14:textId="14F1942F" w:rsidR="001803BC" w:rsidRDefault="00F8612E" w:rsidP="001803B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  <w:lang w:val="en-GB" w:eastAsia="en-GB"/>
        </w:rPr>
      </w:pPr>
      <w:r>
        <w:rPr>
          <w:rFonts w:cs="Arial"/>
          <w:szCs w:val="24"/>
          <w:lang w:val="en-GB" w:eastAsia="en-GB"/>
        </w:rPr>
        <w:t>2</w:t>
      </w:r>
      <w:r>
        <w:rPr>
          <w:rFonts w:cs="Arial"/>
          <w:szCs w:val="24"/>
          <w:lang w:val="en-GB" w:eastAsia="en-GB"/>
        </w:rPr>
        <w:tab/>
      </w:r>
      <w:r w:rsidR="00AB4F35">
        <w:rPr>
          <w:rFonts w:cs="Arial"/>
          <w:szCs w:val="24"/>
          <w:lang w:val="en-GB" w:eastAsia="en-GB"/>
        </w:rPr>
        <w:t>The requirements of all performance criteria must be met from each of the three texts read.</w:t>
      </w:r>
    </w:p>
    <w:p w14:paraId="57DA164A" w14:textId="77777777" w:rsidR="00AB4F35" w:rsidRDefault="00AB4F35" w:rsidP="001803B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83E50A0" w14:textId="77777777" w:rsidR="001803BC" w:rsidRDefault="001803BC" w:rsidP="001803B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3</w:t>
      </w:r>
      <w:r>
        <w:rPr>
          <w:rFonts w:cs="Arial"/>
        </w:rPr>
        <w:tab/>
        <w:t xml:space="preserve">All activities relevant to this standard will respect </w:t>
      </w:r>
      <w:r w:rsidRPr="00053002">
        <w:rPr>
          <w:rFonts w:cs="Arial"/>
          <w:szCs w:val="24"/>
        </w:rPr>
        <w:t>ngā kaupapa o te Tiriti o Waitangi (the principles of the Treaty of Waitangi)</w:t>
      </w:r>
      <w:r>
        <w:rPr>
          <w:rFonts w:cs="Arial"/>
          <w:szCs w:val="24"/>
        </w:rPr>
        <w:t>.</w:t>
      </w:r>
    </w:p>
    <w:p w14:paraId="29A7D282" w14:textId="77777777" w:rsidR="001803BC" w:rsidRDefault="001803BC" w:rsidP="001803B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26438A8A" w14:textId="28DF7071" w:rsidR="001803BC" w:rsidRDefault="001803BC" w:rsidP="001803BC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4</w:t>
      </w:r>
      <w:r>
        <w:rPr>
          <w:rFonts w:cs="Arial"/>
          <w:szCs w:val="24"/>
        </w:rPr>
        <w:tab/>
      </w:r>
      <w:r w:rsidR="00544E28">
        <w:rPr>
          <w:rFonts w:cs="Arial"/>
          <w:szCs w:val="24"/>
        </w:rPr>
        <w:t>All activities will, as relevant to candidates and/or this standard, reflect the</w:t>
      </w:r>
      <w:r w:rsidR="00544E28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3BC847B9" w14:textId="77777777" w:rsidR="00A73F41" w:rsidRDefault="00A73F41">
      <w:pPr>
        <w:tabs>
          <w:tab w:val="left" w:pos="567"/>
        </w:tabs>
        <w:rPr>
          <w:rFonts w:cs="Arial"/>
        </w:rPr>
      </w:pPr>
    </w:p>
    <w:p w14:paraId="3BC847BA" w14:textId="77777777" w:rsidR="00A73F41" w:rsidRPr="00966AC1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966AC1">
        <w:rPr>
          <w:rFonts w:cs="Arial"/>
          <w:b/>
          <w:bCs/>
          <w:sz w:val="28"/>
        </w:rPr>
        <w:t>a</w:t>
      </w:r>
    </w:p>
    <w:p w14:paraId="3BC847BB" w14:textId="77777777" w:rsidR="00966AC1" w:rsidRPr="00966AC1" w:rsidRDefault="00966AC1">
      <w:pPr>
        <w:tabs>
          <w:tab w:val="left" w:pos="567"/>
        </w:tabs>
        <w:rPr>
          <w:rFonts w:cs="Arial"/>
        </w:rPr>
      </w:pPr>
    </w:p>
    <w:p w14:paraId="3BC847BC" w14:textId="77777777" w:rsidR="00966AC1" w:rsidRPr="00966AC1" w:rsidRDefault="00966AC1" w:rsidP="00966AC1">
      <w:pPr>
        <w:rPr>
          <w:rFonts w:cs="Arial"/>
          <w:b/>
        </w:rPr>
      </w:pPr>
      <w:r w:rsidRPr="00966AC1">
        <w:rPr>
          <w:rFonts w:cs="Arial"/>
          <w:b/>
        </w:rPr>
        <w:t>Outcome 1</w:t>
      </w:r>
    </w:p>
    <w:p w14:paraId="3BC847BD" w14:textId="77777777" w:rsidR="00966AC1" w:rsidRPr="00966AC1" w:rsidRDefault="00966AC1" w:rsidP="00966AC1">
      <w:pPr>
        <w:rPr>
          <w:rFonts w:cs="Arial"/>
          <w:b/>
        </w:rPr>
      </w:pPr>
    </w:p>
    <w:p w14:paraId="3BC847BE" w14:textId="67548791" w:rsidR="00966AC1" w:rsidRPr="00966AC1" w:rsidRDefault="00966AC1" w:rsidP="00966AC1">
      <w:pPr>
        <w:rPr>
          <w:rFonts w:cs="Arial"/>
        </w:rPr>
      </w:pPr>
      <w:r w:rsidRPr="00966AC1">
        <w:rPr>
          <w:rFonts w:cs="Arial"/>
        </w:rPr>
        <w:t>Read texts to research information</w:t>
      </w:r>
      <w:r w:rsidR="001803BC">
        <w:rPr>
          <w:rFonts w:cs="Arial"/>
        </w:rPr>
        <w:t xml:space="preserve"> for a specific purpose</w:t>
      </w:r>
      <w:r w:rsidRPr="00966AC1">
        <w:rPr>
          <w:rFonts w:cs="Arial"/>
        </w:rPr>
        <w:t>.</w:t>
      </w:r>
    </w:p>
    <w:p w14:paraId="3BC847BF" w14:textId="77777777" w:rsidR="00966AC1" w:rsidRPr="00966AC1" w:rsidRDefault="00966AC1" w:rsidP="00966AC1">
      <w:pPr>
        <w:rPr>
          <w:rFonts w:cs="Arial"/>
        </w:rPr>
      </w:pPr>
    </w:p>
    <w:p w14:paraId="3BC847C0" w14:textId="453764C3" w:rsidR="00966AC1" w:rsidRPr="00966AC1" w:rsidRDefault="00966AC1" w:rsidP="00966AC1">
      <w:pPr>
        <w:ind w:left="1134" w:hanging="1134"/>
        <w:rPr>
          <w:rFonts w:cs="Arial"/>
        </w:rPr>
      </w:pPr>
      <w:r w:rsidRPr="00966AC1">
        <w:rPr>
          <w:rFonts w:cs="Arial"/>
        </w:rPr>
        <w:t>Range</w:t>
      </w:r>
      <w:r w:rsidRPr="00966AC1">
        <w:rPr>
          <w:rFonts w:cs="Arial"/>
        </w:rPr>
        <w:tab/>
      </w:r>
      <w:r w:rsidR="00AB4F35">
        <w:rPr>
          <w:rFonts w:cs="Arial"/>
        </w:rPr>
        <w:t>thr</w:t>
      </w:r>
      <w:r w:rsidR="00226BE6">
        <w:rPr>
          <w:rFonts w:cs="Arial"/>
        </w:rPr>
        <w:t>e</w:t>
      </w:r>
      <w:r w:rsidR="00AB4F35">
        <w:rPr>
          <w:rFonts w:cs="Arial"/>
        </w:rPr>
        <w:t>e</w:t>
      </w:r>
      <w:r w:rsidR="00AB4F35" w:rsidRPr="00966AC1">
        <w:rPr>
          <w:rFonts w:cs="Arial"/>
        </w:rPr>
        <w:t xml:space="preserve"> </w:t>
      </w:r>
      <w:r w:rsidRPr="00966AC1">
        <w:rPr>
          <w:rFonts w:cs="Arial"/>
        </w:rPr>
        <w:t>texts.</w:t>
      </w:r>
    </w:p>
    <w:p w14:paraId="3BC847C2" w14:textId="77777777" w:rsidR="00966AC1" w:rsidRPr="00966AC1" w:rsidRDefault="00966AC1" w:rsidP="00966AC1">
      <w:pPr>
        <w:rPr>
          <w:rFonts w:cs="Arial"/>
        </w:rPr>
      </w:pPr>
    </w:p>
    <w:p w14:paraId="3BC847C3" w14:textId="77777777" w:rsidR="00966AC1" w:rsidRPr="00966AC1" w:rsidRDefault="00966AC1" w:rsidP="00966AC1">
      <w:pPr>
        <w:rPr>
          <w:rFonts w:cs="Arial"/>
          <w:b/>
        </w:rPr>
      </w:pPr>
      <w:r w:rsidRPr="00966AC1">
        <w:rPr>
          <w:rFonts w:cs="Arial"/>
          <w:b/>
        </w:rPr>
        <w:t>Performance criteria</w:t>
      </w:r>
    </w:p>
    <w:p w14:paraId="3BC847C4" w14:textId="77777777" w:rsidR="00966AC1" w:rsidRPr="00966AC1" w:rsidRDefault="00966AC1" w:rsidP="00966AC1">
      <w:pPr>
        <w:rPr>
          <w:rFonts w:cs="Arial"/>
          <w:b/>
        </w:rPr>
      </w:pPr>
    </w:p>
    <w:p w14:paraId="3BC847C5" w14:textId="11A0B08F" w:rsidR="00966AC1" w:rsidRPr="00966AC1" w:rsidRDefault="001803BC" w:rsidP="00966AC1">
      <w:pPr>
        <w:numPr>
          <w:ilvl w:val="1"/>
          <w:numId w:val="29"/>
        </w:numPr>
        <w:tabs>
          <w:tab w:val="left" w:pos="1134"/>
        </w:tabs>
        <w:rPr>
          <w:rFonts w:cs="Arial"/>
        </w:rPr>
      </w:pPr>
      <w:r>
        <w:rPr>
          <w:rFonts w:cs="Arial"/>
        </w:rPr>
        <w:t>T</w:t>
      </w:r>
      <w:r w:rsidR="00966AC1" w:rsidRPr="00966AC1">
        <w:rPr>
          <w:rFonts w:cs="Arial"/>
        </w:rPr>
        <w:t xml:space="preserve">exts are selected and justified in terms of context, language, layout, intended audience, </w:t>
      </w:r>
      <w:r w:rsidR="00846728">
        <w:rPr>
          <w:rFonts w:cs="Arial"/>
        </w:rPr>
        <w:t xml:space="preserve">credibility, </w:t>
      </w:r>
      <w:r>
        <w:rPr>
          <w:rFonts w:cs="Arial"/>
        </w:rPr>
        <w:t xml:space="preserve">and </w:t>
      </w:r>
      <w:r w:rsidR="00966AC1" w:rsidRPr="00966AC1">
        <w:rPr>
          <w:rFonts w:cs="Arial"/>
        </w:rPr>
        <w:t xml:space="preserve">contribution to the research </w:t>
      </w:r>
      <w:r w:rsidR="00BE4CB6">
        <w:rPr>
          <w:rFonts w:cs="Arial"/>
        </w:rPr>
        <w:t>purpose</w:t>
      </w:r>
      <w:r w:rsidR="00966AC1" w:rsidRPr="00966AC1">
        <w:rPr>
          <w:rFonts w:cs="Arial"/>
        </w:rPr>
        <w:t>.</w:t>
      </w:r>
    </w:p>
    <w:p w14:paraId="3BC847C6" w14:textId="77777777" w:rsidR="00966AC1" w:rsidRPr="00966AC1" w:rsidRDefault="00966AC1" w:rsidP="00966AC1">
      <w:pPr>
        <w:ind w:left="1134" w:hanging="1134"/>
        <w:rPr>
          <w:rFonts w:cs="Arial"/>
        </w:rPr>
      </w:pPr>
    </w:p>
    <w:p w14:paraId="3BC847C7" w14:textId="50D3D0A6" w:rsidR="00966AC1" w:rsidRPr="00966AC1" w:rsidRDefault="00966AC1" w:rsidP="00966AC1">
      <w:pPr>
        <w:ind w:left="1134" w:hanging="1134"/>
        <w:rPr>
          <w:rFonts w:cs="Arial"/>
        </w:rPr>
      </w:pPr>
      <w:r w:rsidRPr="00966AC1">
        <w:rPr>
          <w:rFonts w:cs="Arial"/>
        </w:rPr>
        <w:t>1.2</w:t>
      </w:r>
      <w:r w:rsidRPr="00966AC1">
        <w:rPr>
          <w:rFonts w:cs="Arial"/>
        </w:rPr>
        <w:tab/>
        <w:t>Relevant information is extracted for the purpose.</w:t>
      </w:r>
    </w:p>
    <w:p w14:paraId="3BC847C8" w14:textId="77777777" w:rsidR="00966AC1" w:rsidRPr="00966AC1" w:rsidRDefault="00966AC1" w:rsidP="00966AC1">
      <w:pPr>
        <w:ind w:left="1134" w:hanging="1134"/>
        <w:rPr>
          <w:rFonts w:cs="Arial"/>
        </w:rPr>
      </w:pPr>
    </w:p>
    <w:p w14:paraId="3BC847C9" w14:textId="77777777" w:rsidR="00966AC1" w:rsidRPr="00966AC1" w:rsidRDefault="00966AC1" w:rsidP="00966AC1">
      <w:pPr>
        <w:ind w:left="1134" w:hanging="1134"/>
        <w:rPr>
          <w:rFonts w:cs="Arial"/>
        </w:rPr>
      </w:pPr>
      <w:r w:rsidRPr="00966AC1">
        <w:rPr>
          <w:rFonts w:cs="Arial"/>
        </w:rPr>
        <w:t>1.3</w:t>
      </w:r>
      <w:r w:rsidRPr="00966AC1">
        <w:rPr>
          <w:rFonts w:cs="Arial"/>
        </w:rPr>
        <w:tab/>
        <w:t>Ideas are identified in terms of main ideas and subordinate ideas.</w:t>
      </w:r>
    </w:p>
    <w:p w14:paraId="3BC847CA" w14:textId="77777777" w:rsidR="00966AC1" w:rsidRPr="00966AC1" w:rsidRDefault="00966AC1" w:rsidP="00966AC1">
      <w:pPr>
        <w:ind w:left="1134" w:hanging="1134"/>
        <w:rPr>
          <w:rFonts w:cs="Arial"/>
        </w:rPr>
      </w:pPr>
    </w:p>
    <w:p w14:paraId="3BC847CB" w14:textId="77777777" w:rsidR="00966AC1" w:rsidRPr="00966AC1" w:rsidRDefault="00966AC1" w:rsidP="00966AC1">
      <w:pPr>
        <w:ind w:left="1134" w:hanging="1134"/>
        <w:rPr>
          <w:rFonts w:cs="Arial"/>
        </w:rPr>
      </w:pPr>
      <w:r w:rsidRPr="00966AC1">
        <w:rPr>
          <w:rFonts w:cs="Arial"/>
        </w:rPr>
        <w:t>1.4</w:t>
      </w:r>
      <w:r w:rsidRPr="00966AC1">
        <w:rPr>
          <w:rFonts w:cs="Arial"/>
        </w:rPr>
        <w:tab/>
        <w:t>Generalisations and specific information are distinguished from each other.</w:t>
      </w:r>
    </w:p>
    <w:p w14:paraId="3BC847CC" w14:textId="77777777" w:rsidR="00966AC1" w:rsidRPr="00966AC1" w:rsidRDefault="00966AC1" w:rsidP="00966AC1">
      <w:pPr>
        <w:ind w:left="1134" w:hanging="1134"/>
        <w:rPr>
          <w:rFonts w:cs="Arial"/>
        </w:rPr>
      </w:pPr>
    </w:p>
    <w:p w14:paraId="3BC847CD" w14:textId="77777777" w:rsidR="00966AC1" w:rsidRPr="00966AC1" w:rsidRDefault="00966AC1" w:rsidP="00966AC1">
      <w:pPr>
        <w:ind w:left="1134" w:hanging="1134"/>
        <w:rPr>
          <w:rFonts w:cs="Arial"/>
        </w:rPr>
      </w:pPr>
      <w:r w:rsidRPr="00966AC1">
        <w:rPr>
          <w:rFonts w:cs="Arial"/>
        </w:rPr>
        <w:t>1.5</w:t>
      </w:r>
      <w:r w:rsidRPr="00966AC1">
        <w:rPr>
          <w:rFonts w:cs="Arial"/>
        </w:rPr>
        <w:tab/>
        <w:t>Specific examples used by the writer to make relevant points are identified.</w:t>
      </w:r>
    </w:p>
    <w:p w14:paraId="3BC847CE" w14:textId="77777777" w:rsidR="00966AC1" w:rsidRPr="00966AC1" w:rsidRDefault="00966AC1" w:rsidP="00966AC1">
      <w:pPr>
        <w:ind w:left="1134" w:hanging="1134"/>
        <w:rPr>
          <w:rFonts w:cs="Arial"/>
        </w:rPr>
      </w:pPr>
    </w:p>
    <w:p w14:paraId="3BC847CF" w14:textId="77777777" w:rsidR="00966AC1" w:rsidRPr="00966AC1" w:rsidRDefault="00966AC1" w:rsidP="00966AC1">
      <w:pPr>
        <w:ind w:left="1134" w:hanging="1134"/>
        <w:rPr>
          <w:rFonts w:cs="Arial"/>
        </w:rPr>
      </w:pPr>
      <w:r w:rsidRPr="00966AC1">
        <w:rPr>
          <w:rFonts w:cs="Arial"/>
        </w:rPr>
        <w:t>1.6</w:t>
      </w:r>
      <w:r w:rsidRPr="00966AC1">
        <w:rPr>
          <w:rFonts w:cs="Arial"/>
        </w:rPr>
        <w:tab/>
        <w:t>Any opinions expressed in the text are identified.</w:t>
      </w:r>
    </w:p>
    <w:p w14:paraId="3BC847D0" w14:textId="77777777" w:rsidR="00966AC1" w:rsidRPr="00966AC1" w:rsidRDefault="00966AC1" w:rsidP="00966AC1">
      <w:pPr>
        <w:ind w:left="1134" w:hanging="1134"/>
        <w:rPr>
          <w:rFonts w:cs="Arial"/>
        </w:rPr>
      </w:pPr>
    </w:p>
    <w:p w14:paraId="3BC847D3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3BC847DA" w14:textId="77777777" w:rsidTr="009C194F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BC847D8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3BC847D9" w14:textId="4B2B0AA9" w:rsidR="00A73F41" w:rsidRDefault="00966AC1">
            <w:pPr>
              <w:pStyle w:val="StyleBefore6ptAfter6pt"/>
              <w:spacing w:before="0" w:after="0"/>
            </w:pPr>
            <w:r>
              <w:t>31 December 202</w:t>
            </w:r>
            <w:r w:rsidR="009C194F">
              <w:t>6</w:t>
            </w:r>
          </w:p>
        </w:tc>
      </w:tr>
    </w:tbl>
    <w:p w14:paraId="3BC847DB" w14:textId="77777777" w:rsidR="00A73F41" w:rsidRDefault="00A73F41"/>
    <w:p w14:paraId="3BC847DC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3BC847E1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C847DD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C847D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C847D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C847E0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BC847E6" w14:textId="77777777" w:rsidTr="00966AC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E2" w14:textId="77777777" w:rsidR="00A73F4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E3" w14:textId="77777777" w:rsidR="00A73F4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E4" w14:textId="77777777" w:rsidR="00A73F4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E5" w14:textId="77777777" w:rsidR="00A73F4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966AC1" w14:paraId="3BC847EB" w14:textId="77777777" w:rsidTr="00966AC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E7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E8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E9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EA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966AC1" w14:paraId="3BC847F0" w14:textId="77777777" w:rsidTr="00966AC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EC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ED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EE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11 February 2004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EF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966AC1" w14:paraId="3BC847F5" w14:textId="77777777" w:rsidTr="00966AC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F1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F2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F3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F4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966AC1" w14:paraId="3BC847FA" w14:textId="77777777" w:rsidTr="00966AC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F6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F7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F8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F9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966AC1" w14:paraId="3BC847FF" w14:textId="77777777" w:rsidTr="00966AC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FB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FC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FD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7FE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966AC1" w14:paraId="3BC84804" w14:textId="77777777" w:rsidTr="00966AC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800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801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802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C84803" w14:textId="77777777" w:rsidR="00966AC1" w:rsidRDefault="00966A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3E5126" w14:paraId="4A4FCF74" w14:textId="77777777" w:rsidTr="00966AC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6627F1" w14:textId="07DD02DF" w:rsidR="003E5126" w:rsidRDefault="003E512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A172D7B" w14:textId="44C3E2E7" w:rsidR="003E5126" w:rsidRDefault="003E512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63894F0" w14:textId="02C327BE" w:rsidR="003E5126" w:rsidRDefault="003E512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3B67914" w14:textId="719EA0AC" w:rsidR="003E5126" w:rsidRDefault="003E512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BC8480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3BC84808" w14:textId="77777777" w:rsidTr="00966AC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BC84806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3BC84807" w14:textId="77777777" w:rsidR="00A73F41" w:rsidRDefault="00966AC1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3BC84809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BC8480A" w14:textId="77777777" w:rsidR="00A73F41" w:rsidRDefault="00A73F41"/>
    <w:p w14:paraId="3BC8480B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BC8480C" w14:textId="77777777" w:rsidR="00A73F41" w:rsidRDefault="00A73F41">
      <w:pPr>
        <w:keepNext/>
        <w:keepLines/>
      </w:pPr>
    </w:p>
    <w:p w14:paraId="1BAC5AF8" w14:textId="77777777" w:rsidR="00847A01" w:rsidRDefault="00847A01" w:rsidP="00847A01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3BC8480D" w14:textId="3FBEF43B" w:rsidR="00A73F41" w:rsidRDefault="00A73F41" w:rsidP="00847A01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84810" w14:textId="77777777" w:rsidR="00EB20C6" w:rsidRDefault="00EB20C6">
      <w:r>
        <w:separator/>
      </w:r>
    </w:p>
  </w:endnote>
  <w:endnote w:type="continuationSeparator" w:id="0">
    <w:p w14:paraId="3BC84811" w14:textId="77777777" w:rsidR="00EB20C6" w:rsidRDefault="00EB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3BC8481C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BC84819" w14:textId="77777777" w:rsidR="00A73F41" w:rsidRPr="00966AC1" w:rsidRDefault="00966AC1">
          <w:pPr>
            <w:rPr>
              <w:bCs/>
              <w:iCs/>
              <w:sz w:val="20"/>
            </w:rPr>
          </w:pPr>
          <w:r w:rsidRPr="00966AC1">
            <w:rPr>
              <w:bCs/>
              <w:iCs/>
              <w:sz w:val="20"/>
            </w:rPr>
            <w:t>NZQA National Qualifications Services</w:t>
          </w:r>
        </w:p>
        <w:p w14:paraId="3BC8481A" w14:textId="77777777" w:rsidR="00A73F41" w:rsidRPr="00966AC1" w:rsidRDefault="00A73F41">
          <w:pPr>
            <w:rPr>
              <w:bCs/>
              <w:sz w:val="20"/>
            </w:rPr>
          </w:pPr>
          <w:r w:rsidRPr="00966AC1">
            <w:rPr>
              <w:bCs/>
              <w:iCs/>
              <w:sz w:val="20"/>
            </w:rPr>
            <w:t xml:space="preserve">SSB Code </w:t>
          </w:r>
          <w:r w:rsidR="00966AC1" w:rsidRPr="00966AC1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BC8481B" w14:textId="77AB092A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2E43B1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3BC8481D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8480E" w14:textId="77777777" w:rsidR="00EB20C6" w:rsidRDefault="00EB20C6">
      <w:r>
        <w:separator/>
      </w:r>
    </w:p>
  </w:footnote>
  <w:footnote w:type="continuationSeparator" w:id="0">
    <w:p w14:paraId="3BC8480F" w14:textId="77777777" w:rsidR="00EB20C6" w:rsidRDefault="00EB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3BC84814" w14:textId="77777777" w:rsidTr="001F54BA">
      <w:tc>
        <w:tcPr>
          <w:tcW w:w="4927" w:type="dxa"/>
          <w:shd w:val="clear" w:color="auto" w:fill="auto"/>
        </w:tcPr>
        <w:p w14:paraId="3BC84812" w14:textId="77777777" w:rsidR="00A73F41" w:rsidRDefault="00966AC1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3BC84813" w14:textId="3EFCA3B7" w:rsidR="00A73F41" w:rsidRDefault="00966AC1" w:rsidP="001F54BA">
          <w:pPr>
            <w:jc w:val="right"/>
          </w:pPr>
          <w:r>
            <w:t xml:space="preserve">2990 version </w:t>
          </w:r>
          <w:r w:rsidR="00847A01">
            <w:t>8</w:t>
          </w:r>
        </w:p>
      </w:tc>
    </w:tr>
    <w:tr w:rsidR="00A73F41" w14:paraId="3BC84817" w14:textId="77777777" w:rsidTr="001F54BA">
      <w:tc>
        <w:tcPr>
          <w:tcW w:w="4927" w:type="dxa"/>
          <w:shd w:val="clear" w:color="auto" w:fill="auto"/>
        </w:tcPr>
        <w:p w14:paraId="3BC84815" w14:textId="77777777" w:rsidR="00A73F41" w:rsidRDefault="00A73F41"/>
      </w:tc>
      <w:tc>
        <w:tcPr>
          <w:tcW w:w="4927" w:type="dxa"/>
          <w:shd w:val="clear" w:color="auto" w:fill="auto"/>
        </w:tcPr>
        <w:p w14:paraId="3BC84816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2E43B1">
            <w:fldChar w:fldCharType="begin"/>
          </w:r>
          <w:r w:rsidR="002E43B1">
            <w:instrText xml:space="preserve"> numpages </w:instrText>
          </w:r>
          <w:r w:rsidR="002E43B1">
            <w:fldChar w:fldCharType="separate"/>
          </w:r>
          <w:r w:rsidR="009149DD">
            <w:rPr>
              <w:noProof/>
            </w:rPr>
            <w:t>2</w:t>
          </w:r>
          <w:r w:rsidR="002E43B1">
            <w:rPr>
              <w:noProof/>
            </w:rPr>
            <w:fldChar w:fldCharType="end"/>
          </w:r>
        </w:p>
      </w:tc>
    </w:tr>
  </w:tbl>
  <w:sdt>
    <w:sdtPr>
      <w:id w:val="1078175153"/>
      <w:docPartObj>
        <w:docPartGallery w:val="Watermarks"/>
        <w:docPartUnique/>
      </w:docPartObj>
    </w:sdtPr>
    <w:sdtEndPr/>
    <w:sdtContent>
      <w:p w14:paraId="3BC84818" w14:textId="31157B25" w:rsidR="00A73F41" w:rsidRDefault="002E43B1">
        <w:pPr>
          <w:jc w:val="right"/>
        </w:pPr>
        <w:r>
          <w:rPr>
            <w:noProof/>
          </w:rPr>
          <w:pict w14:anchorId="442359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6F6E"/>
    <w:multiLevelType w:val="multilevel"/>
    <w:tmpl w:val="2274017E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2"/>
  </w:num>
  <w:num w:numId="16">
    <w:abstractNumId w:val="26"/>
  </w:num>
  <w:num w:numId="17">
    <w:abstractNumId w:val="11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3"/>
  </w:num>
  <w:num w:numId="23">
    <w:abstractNumId w:val="8"/>
  </w:num>
  <w:num w:numId="24">
    <w:abstractNumId w:val="10"/>
  </w:num>
  <w:num w:numId="25">
    <w:abstractNumId w:val="24"/>
  </w:num>
  <w:num w:numId="26">
    <w:abstractNumId w:val="27"/>
  </w:num>
  <w:num w:numId="27">
    <w:abstractNumId w:val="19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C6"/>
    <w:rsid w:val="00147F70"/>
    <w:rsid w:val="001803BC"/>
    <w:rsid w:val="001C641D"/>
    <w:rsid w:val="001F54BA"/>
    <w:rsid w:val="00226BE6"/>
    <w:rsid w:val="00250047"/>
    <w:rsid w:val="002679DA"/>
    <w:rsid w:val="002938F5"/>
    <w:rsid w:val="002E43B1"/>
    <w:rsid w:val="002F1EF6"/>
    <w:rsid w:val="003A28D4"/>
    <w:rsid w:val="003B10A8"/>
    <w:rsid w:val="003B1780"/>
    <w:rsid w:val="003E5126"/>
    <w:rsid w:val="00544E28"/>
    <w:rsid w:val="00645244"/>
    <w:rsid w:val="00684ECF"/>
    <w:rsid w:val="006E3E7E"/>
    <w:rsid w:val="0078129E"/>
    <w:rsid w:val="007D563A"/>
    <w:rsid w:val="00846728"/>
    <w:rsid w:val="00847A01"/>
    <w:rsid w:val="0086136B"/>
    <w:rsid w:val="00881417"/>
    <w:rsid w:val="00884BFC"/>
    <w:rsid w:val="008E3D2D"/>
    <w:rsid w:val="009149DD"/>
    <w:rsid w:val="00941E06"/>
    <w:rsid w:val="0096567B"/>
    <w:rsid w:val="00966AC1"/>
    <w:rsid w:val="009C194F"/>
    <w:rsid w:val="00A70C58"/>
    <w:rsid w:val="00A73F41"/>
    <w:rsid w:val="00AA3CAA"/>
    <w:rsid w:val="00AB4F35"/>
    <w:rsid w:val="00AE271B"/>
    <w:rsid w:val="00B24008"/>
    <w:rsid w:val="00BD7532"/>
    <w:rsid w:val="00BE34E5"/>
    <w:rsid w:val="00BE4CB6"/>
    <w:rsid w:val="00BF6848"/>
    <w:rsid w:val="00C373DB"/>
    <w:rsid w:val="00CA1A23"/>
    <w:rsid w:val="00E60CCA"/>
    <w:rsid w:val="00E61432"/>
    <w:rsid w:val="00EB20C6"/>
    <w:rsid w:val="00EC7DC2"/>
    <w:rsid w:val="00EE3E61"/>
    <w:rsid w:val="00F8612E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BC84795"/>
  <w15:chartTrackingRefBased/>
  <w15:docId w15:val="{9AE050AE-F061-467E-8B68-BA2F5DD1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18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2481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13</cp:revision>
  <cp:lastPrinted>2010-06-03T23:16:00Z</cp:lastPrinted>
  <dcterms:created xsi:type="dcterms:W3CDTF">2021-01-11T01:10:00Z</dcterms:created>
  <dcterms:modified xsi:type="dcterms:W3CDTF">2021-10-26T02:00:00Z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