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3345"/>
        <w:gridCol w:w="1511"/>
        <w:gridCol w:w="3343"/>
      </w:tblGrid>
      <w:tr w:rsidR="006B3477" w14:paraId="268A90F9" w14:textId="77777777" w:rsidTr="00205BE5">
        <w:tc>
          <w:tcPr>
            <w:tcW w:w="1731" w:type="dxa"/>
            <w:shd w:val="clear" w:color="auto" w:fill="F3F3F3"/>
            <w:tcMar>
              <w:top w:w="170" w:type="dxa"/>
              <w:bottom w:w="170" w:type="dxa"/>
            </w:tcMar>
          </w:tcPr>
          <w:p w14:paraId="7283EE29" w14:textId="77777777" w:rsidR="006B3477" w:rsidRDefault="006B3477">
            <w:pPr>
              <w:pStyle w:val="StyleBoldBefore6ptAfter6pt"/>
              <w:spacing w:before="0" w:after="0"/>
            </w:pPr>
            <w:r>
              <w:t>Title</w:t>
            </w:r>
          </w:p>
        </w:tc>
        <w:tc>
          <w:tcPr>
            <w:tcW w:w="8199" w:type="dxa"/>
            <w:gridSpan w:val="3"/>
            <w:tcMar>
              <w:top w:w="170" w:type="dxa"/>
              <w:bottom w:w="170" w:type="dxa"/>
            </w:tcMar>
            <w:vAlign w:val="center"/>
          </w:tcPr>
          <w:p w14:paraId="4A547EA0" w14:textId="02EDADFD" w:rsidR="006B3477" w:rsidRDefault="00B454DD" w:rsidP="00F042CF">
            <w:pPr>
              <w:rPr>
                <w:b/>
              </w:rPr>
            </w:pPr>
            <w:r>
              <w:rPr>
                <w:b/>
              </w:rPr>
              <w:t xml:space="preserve">Demonstrate knowledge of </w:t>
            </w:r>
            <w:r w:rsidR="005F5910">
              <w:rPr>
                <w:b/>
              </w:rPr>
              <w:t xml:space="preserve">the effects of </w:t>
            </w:r>
            <w:r>
              <w:rPr>
                <w:b/>
              </w:rPr>
              <w:t>alcohol and other drugs</w:t>
            </w:r>
            <w:r w:rsidR="005F5910">
              <w:rPr>
                <w:b/>
              </w:rPr>
              <w:t xml:space="preserve"> on self</w:t>
            </w:r>
          </w:p>
        </w:tc>
      </w:tr>
      <w:tr w:rsidR="006B3477" w14:paraId="41B085E6" w14:textId="77777777" w:rsidTr="00205BE5">
        <w:tc>
          <w:tcPr>
            <w:tcW w:w="1731" w:type="dxa"/>
            <w:shd w:val="clear" w:color="auto" w:fill="F3F3F3"/>
            <w:tcMar>
              <w:top w:w="170" w:type="dxa"/>
              <w:bottom w:w="170" w:type="dxa"/>
            </w:tcMar>
          </w:tcPr>
          <w:p w14:paraId="2CE879EC" w14:textId="77777777" w:rsidR="006B3477" w:rsidRDefault="006B3477">
            <w:pPr>
              <w:pStyle w:val="StyleBoldBefore6ptAfter6pt"/>
              <w:spacing w:before="0" w:after="0"/>
            </w:pPr>
            <w:r>
              <w:t>Level</w:t>
            </w:r>
          </w:p>
        </w:tc>
        <w:tc>
          <w:tcPr>
            <w:tcW w:w="3345" w:type="dxa"/>
            <w:tcMar>
              <w:top w:w="170" w:type="dxa"/>
              <w:bottom w:w="170" w:type="dxa"/>
            </w:tcMar>
            <w:vAlign w:val="center"/>
          </w:tcPr>
          <w:p w14:paraId="6D9A27ED" w14:textId="77777777" w:rsidR="006B3477" w:rsidRDefault="00B454DD">
            <w:pPr>
              <w:rPr>
                <w:b/>
              </w:rPr>
            </w:pPr>
            <w:r>
              <w:rPr>
                <w:b/>
              </w:rPr>
              <w:t>1</w:t>
            </w:r>
          </w:p>
        </w:tc>
        <w:tc>
          <w:tcPr>
            <w:tcW w:w="1511" w:type="dxa"/>
            <w:shd w:val="clear" w:color="auto" w:fill="F3F3F3"/>
            <w:tcMar>
              <w:top w:w="170" w:type="dxa"/>
              <w:bottom w:w="170" w:type="dxa"/>
            </w:tcMar>
          </w:tcPr>
          <w:p w14:paraId="4DFA9D18" w14:textId="77777777" w:rsidR="006B3477" w:rsidRDefault="006B3477">
            <w:pPr>
              <w:rPr>
                <w:b/>
                <w:color w:val="000000"/>
              </w:rPr>
            </w:pPr>
            <w:r>
              <w:rPr>
                <w:b/>
              </w:rPr>
              <w:t>Credits</w:t>
            </w:r>
          </w:p>
        </w:tc>
        <w:tc>
          <w:tcPr>
            <w:tcW w:w="3343" w:type="dxa"/>
            <w:tcMar>
              <w:top w:w="170" w:type="dxa"/>
              <w:bottom w:w="170" w:type="dxa"/>
            </w:tcMar>
            <w:vAlign w:val="center"/>
          </w:tcPr>
          <w:p w14:paraId="22696E13" w14:textId="615A2251" w:rsidR="006B3477" w:rsidRDefault="00DC7818">
            <w:pPr>
              <w:rPr>
                <w:b/>
              </w:rPr>
            </w:pPr>
            <w:r>
              <w:rPr>
                <w:b/>
              </w:rPr>
              <w:t>3</w:t>
            </w:r>
          </w:p>
        </w:tc>
      </w:tr>
    </w:tbl>
    <w:p w14:paraId="2C0DAED5" w14:textId="77777777" w:rsidR="006B3477" w:rsidRDefault="006B34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6B3477" w14:paraId="120B513C" w14:textId="77777777" w:rsidTr="00B454DD">
        <w:tc>
          <w:tcPr>
            <w:tcW w:w="2868" w:type="dxa"/>
            <w:shd w:val="clear" w:color="auto" w:fill="F3F3F3"/>
            <w:tcMar>
              <w:top w:w="170" w:type="dxa"/>
              <w:bottom w:w="170" w:type="dxa"/>
            </w:tcMar>
          </w:tcPr>
          <w:p w14:paraId="23F8F8E6" w14:textId="77777777" w:rsidR="006B3477" w:rsidRDefault="006B3477">
            <w:pPr>
              <w:pStyle w:val="StyleBoldBefore6ptAfter6pt"/>
              <w:spacing w:before="0" w:after="0"/>
            </w:pPr>
            <w:r>
              <w:rPr>
                <w:bCs w:val="0"/>
              </w:rPr>
              <w:t>Purpose</w:t>
            </w:r>
          </w:p>
        </w:tc>
        <w:tc>
          <w:tcPr>
            <w:tcW w:w="6974" w:type="dxa"/>
            <w:tcMar>
              <w:top w:w="170" w:type="dxa"/>
              <w:bottom w:w="170" w:type="dxa"/>
            </w:tcMar>
            <w:vAlign w:val="center"/>
          </w:tcPr>
          <w:p w14:paraId="21714907" w14:textId="73387E40" w:rsidR="006B3477" w:rsidRPr="00B454DD" w:rsidRDefault="00B454DD" w:rsidP="00F042CF">
            <w:pPr>
              <w:rPr>
                <w:rFonts w:cs="Arial"/>
              </w:rPr>
            </w:pPr>
            <w:r w:rsidRPr="00FD4E86">
              <w:rPr>
                <w:rFonts w:cs="Arial"/>
              </w:rPr>
              <w:t xml:space="preserve">People credited with this unit standard are able to demonstrate knowledge of </w:t>
            </w:r>
            <w:r w:rsidR="00715B61">
              <w:rPr>
                <w:rFonts w:cs="Arial"/>
              </w:rPr>
              <w:t xml:space="preserve">the </w:t>
            </w:r>
            <w:r w:rsidR="00D533E0">
              <w:rPr>
                <w:rFonts w:cs="Arial"/>
              </w:rPr>
              <w:t xml:space="preserve">effects </w:t>
            </w:r>
            <w:r w:rsidR="00715B61">
              <w:rPr>
                <w:rFonts w:cs="Arial"/>
              </w:rPr>
              <w:t xml:space="preserve">of </w:t>
            </w:r>
            <w:r w:rsidRPr="00FD4E86">
              <w:rPr>
                <w:rFonts w:cs="Arial"/>
              </w:rPr>
              <w:t>alcohol and other drugs</w:t>
            </w:r>
            <w:r w:rsidR="00D533E0">
              <w:rPr>
                <w:rFonts w:cs="Arial"/>
              </w:rPr>
              <w:t xml:space="preserve"> on self</w:t>
            </w:r>
            <w:r w:rsidRPr="00FD4E86">
              <w:rPr>
                <w:rFonts w:cs="Arial"/>
              </w:rPr>
              <w:t>.</w:t>
            </w:r>
          </w:p>
        </w:tc>
      </w:tr>
    </w:tbl>
    <w:p w14:paraId="57382D68" w14:textId="77777777" w:rsidR="006B3477" w:rsidRDefault="006B34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6B3477" w14:paraId="37D5CBED" w14:textId="77777777" w:rsidTr="00B454DD">
        <w:tc>
          <w:tcPr>
            <w:tcW w:w="2868" w:type="dxa"/>
            <w:shd w:val="clear" w:color="auto" w:fill="F3F3F3"/>
            <w:tcMar>
              <w:top w:w="170" w:type="dxa"/>
              <w:bottom w:w="170" w:type="dxa"/>
            </w:tcMar>
          </w:tcPr>
          <w:p w14:paraId="2132DAFB" w14:textId="77777777" w:rsidR="006B3477" w:rsidRDefault="006B3477">
            <w:pPr>
              <w:pStyle w:val="StyleBoldBefore6ptAfter6pt"/>
              <w:spacing w:before="0" w:after="0"/>
              <w:rPr>
                <w:bCs w:val="0"/>
              </w:rPr>
            </w:pPr>
            <w:r>
              <w:rPr>
                <w:bCs w:val="0"/>
              </w:rPr>
              <w:t>Classification</w:t>
            </w:r>
          </w:p>
        </w:tc>
        <w:tc>
          <w:tcPr>
            <w:tcW w:w="6974" w:type="dxa"/>
            <w:tcMar>
              <w:top w:w="170" w:type="dxa"/>
              <w:bottom w:w="170" w:type="dxa"/>
            </w:tcMar>
            <w:vAlign w:val="center"/>
          </w:tcPr>
          <w:p w14:paraId="37078DC0" w14:textId="77777777" w:rsidR="006B3477" w:rsidRDefault="00B454DD">
            <w:r>
              <w:t>Core Generic &gt; Self-Management</w:t>
            </w:r>
          </w:p>
        </w:tc>
      </w:tr>
    </w:tbl>
    <w:p w14:paraId="1FFD2063" w14:textId="77777777" w:rsidR="006B3477" w:rsidRDefault="006B34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6B3477" w14:paraId="6640B59D" w14:textId="77777777">
        <w:tc>
          <w:tcPr>
            <w:tcW w:w="2868" w:type="dxa"/>
            <w:shd w:val="clear" w:color="auto" w:fill="F3F3F3"/>
            <w:tcMar>
              <w:top w:w="170" w:type="dxa"/>
              <w:bottom w:w="170" w:type="dxa"/>
            </w:tcMar>
          </w:tcPr>
          <w:p w14:paraId="4CD02EE9" w14:textId="77777777" w:rsidR="006B3477" w:rsidRDefault="006B3477">
            <w:pPr>
              <w:pStyle w:val="StyleBoldBefore6ptAfter6pt"/>
              <w:spacing w:before="0" w:after="0"/>
              <w:rPr>
                <w:bCs w:val="0"/>
              </w:rPr>
            </w:pPr>
            <w:r>
              <w:rPr>
                <w:bCs w:val="0"/>
              </w:rPr>
              <w:t>Available grade</w:t>
            </w:r>
          </w:p>
        </w:tc>
        <w:tc>
          <w:tcPr>
            <w:tcW w:w="6974" w:type="dxa"/>
            <w:tcMar>
              <w:top w:w="170" w:type="dxa"/>
              <w:bottom w:w="170" w:type="dxa"/>
            </w:tcMar>
          </w:tcPr>
          <w:p w14:paraId="69A47C48" w14:textId="77777777" w:rsidR="006B3477" w:rsidRDefault="006B3477">
            <w:r>
              <w:t>Achieved</w:t>
            </w:r>
          </w:p>
        </w:tc>
      </w:tr>
    </w:tbl>
    <w:p w14:paraId="5B84319C" w14:textId="77777777" w:rsidR="006B3477" w:rsidRDefault="006B3477"/>
    <w:p w14:paraId="797004E3" w14:textId="77777777" w:rsidR="006B3477" w:rsidRDefault="00C75E74">
      <w:pPr>
        <w:pBdr>
          <w:top w:val="single" w:sz="4" w:space="1" w:color="auto"/>
        </w:pBdr>
        <w:tabs>
          <w:tab w:val="left" w:pos="567"/>
        </w:tabs>
        <w:rPr>
          <w:rFonts w:cs="Arial"/>
          <w:b/>
          <w:bCs/>
          <w:szCs w:val="24"/>
        </w:rPr>
      </w:pPr>
      <w:r>
        <w:rPr>
          <w:rFonts w:cs="Arial"/>
          <w:b/>
          <w:bCs/>
          <w:szCs w:val="24"/>
        </w:rPr>
        <w:t>Guidance Information</w:t>
      </w:r>
    </w:p>
    <w:p w14:paraId="597862C9" w14:textId="77777777" w:rsidR="00B454DD" w:rsidRPr="00B454DD" w:rsidRDefault="00B454DD" w:rsidP="00B454DD">
      <w:pPr>
        <w:tabs>
          <w:tab w:val="left" w:pos="567"/>
          <w:tab w:val="left" w:pos="1134"/>
          <w:tab w:val="left" w:pos="1417"/>
        </w:tabs>
        <w:ind w:left="567" w:hanging="567"/>
        <w:rPr>
          <w:rFonts w:cs="Arial"/>
          <w:b/>
        </w:rPr>
      </w:pPr>
    </w:p>
    <w:p w14:paraId="7A72AFA1" w14:textId="77777777" w:rsidR="00B454DD" w:rsidRPr="00B454DD" w:rsidRDefault="007F1968" w:rsidP="00B454DD">
      <w:pPr>
        <w:tabs>
          <w:tab w:val="left" w:pos="567"/>
          <w:tab w:val="left" w:pos="1134"/>
          <w:tab w:val="left" w:pos="1417"/>
        </w:tabs>
        <w:ind w:left="567" w:hanging="567"/>
        <w:rPr>
          <w:rFonts w:cs="Arial"/>
        </w:rPr>
      </w:pPr>
      <w:r>
        <w:rPr>
          <w:rFonts w:cs="Arial"/>
        </w:rPr>
        <w:t>1</w:t>
      </w:r>
      <w:r w:rsidR="00B454DD" w:rsidRPr="00B454DD">
        <w:rPr>
          <w:rFonts w:cs="Arial"/>
        </w:rPr>
        <w:tab/>
        <w:t>All concerned with the teaching/learning and assessment relating to this unit standard need to be aware of, and respect, any issues of privacy and confidentiality.  Such issues must be treated with care, recognising that use of alcohol and other drugs can be a sensitive issue.</w:t>
      </w:r>
    </w:p>
    <w:p w14:paraId="1CC8A1EF" w14:textId="77777777" w:rsidR="00F430B3" w:rsidRDefault="00F430B3" w:rsidP="000D029C">
      <w:pPr>
        <w:tabs>
          <w:tab w:val="left" w:pos="567"/>
          <w:tab w:val="left" w:pos="1134"/>
          <w:tab w:val="left" w:pos="1417"/>
        </w:tabs>
        <w:rPr>
          <w:rFonts w:cs="Arial"/>
        </w:rPr>
      </w:pPr>
    </w:p>
    <w:p w14:paraId="57F91DC6" w14:textId="77777777" w:rsidR="000D029C" w:rsidRDefault="000D029C" w:rsidP="00F64918">
      <w:pPr>
        <w:tabs>
          <w:tab w:val="left" w:pos="567"/>
          <w:tab w:val="left" w:pos="1134"/>
          <w:tab w:val="left" w:pos="1417"/>
        </w:tabs>
        <w:spacing w:line="276" w:lineRule="auto"/>
        <w:rPr>
          <w:rFonts w:cs="Arial"/>
        </w:rPr>
      </w:pPr>
      <w:r>
        <w:rPr>
          <w:rFonts w:cs="Arial"/>
        </w:rPr>
        <w:t>2</w:t>
      </w:r>
      <w:r w:rsidR="00D12A19">
        <w:rPr>
          <w:rFonts w:cs="Arial"/>
          <w:i/>
        </w:rPr>
        <w:tab/>
      </w:r>
      <w:r>
        <w:rPr>
          <w:rFonts w:cs="Arial"/>
        </w:rPr>
        <w:t>Definition</w:t>
      </w:r>
    </w:p>
    <w:p w14:paraId="0AF80781" w14:textId="77777777" w:rsidR="00F64918" w:rsidRDefault="000D029C" w:rsidP="00F64918">
      <w:pPr>
        <w:tabs>
          <w:tab w:val="left" w:pos="567"/>
          <w:tab w:val="left" w:pos="1134"/>
          <w:tab w:val="left" w:pos="1417"/>
        </w:tabs>
        <w:spacing w:line="276" w:lineRule="auto"/>
        <w:ind w:left="567" w:hanging="567"/>
        <w:rPr>
          <w:rFonts w:cs="Arial"/>
        </w:rPr>
      </w:pPr>
      <w:r>
        <w:rPr>
          <w:rFonts w:cs="Arial"/>
        </w:rPr>
        <w:tab/>
      </w:r>
      <w:r w:rsidR="0068121F" w:rsidRPr="00293B6F">
        <w:rPr>
          <w:rFonts w:cs="Arial"/>
          <w:i/>
        </w:rPr>
        <w:t>Other d</w:t>
      </w:r>
      <w:r w:rsidR="0068121F">
        <w:rPr>
          <w:rFonts w:cs="Arial"/>
          <w:i/>
        </w:rPr>
        <w:t>rugs</w:t>
      </w:r>
      <w:r w:rsidR="00F430B3" w:rsidRPr="00B454DD">
        <w:rPr>
          <w:rFonts w:cs="Arial"/>
        </w:rPr>
        <w:t xml:space="preserve"> </w:t>
      </w:r>
      <w:r w:rsidR="00DC7818">
        <w:rPr>
          <w:rFonts w:cs="Arial"/>
        </w:rPr>
        <w:t xml:space="preserve">may </w:t>
      </w:r>
      <w:r w:rsidR="00F430B3" w:rsidRPr="00B454DD">
        <w:rPr>
          <w:rFonts w:cs="Arial"/>
        </w:rPr>
        <w:t xml:space="preserve">include </w:t>
      </w:r>
      <w:r w:rsidR="00F430B3">
        <w:rPr>
          <w:rFonts w:cs="Arial"/>
        </w:rPr>
        <w:t xml:space="preserve">depressants, stimulants, and </w:t>
      </w:r>
      <w:r w:rsidR="00F430B3" w:rsidRPr="00B454DD">
        <w:rPr>
          <w:rFonts w:cs="Arial"/>
        </w:rPr>
        <w:t>hallucinogens</w:t>
      </w:r>
      <w:r w:rsidR="00F430B3">
        <w:rPr>
          <w:rFonts w:cs="Arial"/>
        </w:rPr>
        <w:t>.</w:t>
      </w:r>
    </w:p>
    <w:p w14:paraId="684499C8" w14:textId="77777777" w:rsidR="007339E9" w:rsidRDefault="007339E9" w:rsidP="00F64918">
      <w:pPr>
        <w:tabs>
          <w:tab w:val="left" w:pos="567"/>
          <w:tab w:val="left" w:pos="1134"/>
          <w:tab w:val="left" w:pos="1417"/>
        </w:tabs>
        <w:spacing w:line="276" w:lineRule="auto"/>
        <w:ind w:left="567" w:hanging="567"/>
        <w:rPr>
          <w:rFonts w:cs="Arial"/>
        </w:rPr>
      </w:pPr>
    </w:p>
    <w:p w14:paraId="2ACC7728" w14:textId="77777777" w:rsidR="00DC6958" w:rsidRDefault="000D029C" w:rsidP="00F64918">
      <w:pPr>
        <w:tabs>
          <w:tab w:val="left" w:pos="567"/>
          <w:tab w:val="left" w:pos="1134"/>
          <w:tab w:val="left" w:pos="1417"/>
        </w:tabs>
        <w:spacing w:line="276" w:lineRule="auto"/>
        <w:ind w:left="567" w:hanging="567"/>
        <w:rPr>
          <w:rFonts w:cs="Arial"/>
        </w:rPr>
      </w:pPr>
      <w:r>
        <w:rPr>
          <w:rFonts w:cs="Arial"/>
        </w:rPr>
        <w:t>3</w:t>
      </w:r>
      <w:r w:rsidR="00B454DD" w:rsidRPr="00B454DD">
        <w:rPr>
          <w:rFonts w:cs="Arial"/>
        </w:rPr>
        <w:tab/>
        <w:t>The following legislation and subsequent amendments provide reference, where needed, for this unit standard:</w:t>
      </w:r>
    </w:p>
    <w:p w14:paraId="010409C9" w14:textId="77777777" w:rsidR="00DC6958" w:rsidRDefault="00B454DD" w:rsidP="00DC6958">
      <w:pPr>
        <w:tabs>
          <w:tab w:val="left" w:pos="567"/>
          <w:tab w:val="left" w:pos="1134"/>
          <w:tab w:val="left" w:pos="1417"/>
        </w:tabs>
        <w:ind w:left="567"/>
        <w:rPr>
          <w:rFonts w:cs="Arial"/>
        </w:rPr>
      </w:pPr>
      <w:bookmarkStart w:id="0" w:name="_Hlk485636001"/>
      <w:r w:rsidRPr="00B454DD">
        <w:rPr>
          <w:rFonts w:cs="Arial"/>
        </w:rPr>
        <w:t>Misuse of Drugs Act 1975</w:t>
      </w:r>
    </w:p>
    <w:p w14:paraId="12F805BE" w14:textId="77777777" w:rsidR="00B454DD" w:rsidRDefault="00F70D34" w:rsidP="00DC6958">
      <w:pPr>
        <w:tabs>
          <w:tab w:val="left" w:pos="567"/>
          <w:tab w:val="left" w:pos="1134"/>
          <w:tab w:val="left" w:pos="1417"/>
        </w:tabs>
        <w:ind w:left="567"/>
        <w:rPr>
          <w:rFonts w:cs="Arial"/>
          <w:strike/>
        </w:rPr>
      </w:pPr>
      <w:r w:rsidRPr="00607856">
        <w:rPr>
          <w:rFonts w:cs="Arial"/>
        </w:rPr>
        <w:t>Psychoactive Substances Act 2013</w:t>
      </w:r>
    </w:p>
    <w:p w14:paraId="5000F376" w14:textId="77777777" w:rsidR="00F70D34" w:rsidRPr="000D029C" w:rsidRDefault="00F70D34" w:rsidP="00F64918">
      <w:pPr>
        <w:tabs>
          <w:tab w:val="left" w:pos="567"/>
          <w:tab w:val="left" w:pos="1134"/>
          <w:tab w:val="left" w:pos="1417"/>
        </w:tabs>
        <w:spacing w:line="276" w:lineRule="auto"/>
        <w:ind w:left="567" w:hanging="567"/>
        <w:rPr>
          <w:rFonts w:cs="Arial"/>
        </w:rPr>
      </w:pPr>
      <w:r>
        <w:rPr>
          <w:rFonts w:cs="Arial"/>
        </w:rPr>
        <w:tab/>
        <w:t>Sale and Supply of Alcohol Act 2012</w:t>
      </w:r>
      <w:r w:rsidR="00DC6958">
        <w:rPr>
          <w:rFonts w:cs="Arial"/>
        </w:rPr>
        <w:t>.</w:t>
      </w:r>
    </w:p>
    <w:bookmarkEnd w:id="0"/>
    <w:p w14:paraId="4F88C601" w14:textId="77777777" w:rsidR="006B3477" w:rsidRDefault="006B3477">
      <w:pPr>
        <w:tabs>
          <w:tab w:val="left" w:pos="567"/>
        </w:tabs>
        <w:rPr>
          <w:rFonts w:cs="Arial"/>
        </w:rPr>
      </w:pPr>
    </w:p>
    <w:p w14:paraId="4D20E523" w14:textId="77777777" w:rsidR="006B3477" w:rsidRPr="00B454DD" w:rsidRDefault="00C75E74" w:rsidP="005018F4">
      <w:pPr>
        <w:pBdr>
          <w:top w:val="single" w:sz="4" w:space="1" w:color="auto"/>
        </w:pBdr>
        <w:tabs>
          <w:tab w:val="left" w:pos="567"/>
        </w:tabs>
        <w:rPr>
          <w:rFonts w:cs="Arial"/>
          <w:b/>
          <w:bCs/>
          <w:sz w:val="28"/>
        </w:rPr>
      </w:pPr>
      <w:r>
        <w:rPr>
          <w:b/>
          <w:bCs/>
          <w:sz w:val="28"/>
        </w:rPr>
        <w:t>Outcomes and performance criteria</w:t>
      </w:r>
    </w:p>
    <w:p w14:paraId="02034237" w14:textId="77777777" w:rsidR="00B454DD" w:rsidRPr="00B454DD" w:rsidRDefault="00B454DD" w:rsidP="005018F4">
      <w:pPr>
        <w:pBdr>
          <w:top w:val="single" w:sz="4" w:space="1" w:color="auto"/>
        </w:pBdr>
        <w:ind w:left="567" w:hanging="567"/>
        <w:rPr>
          <w:rFonts w:cs="Arial"/>
        </w:rPr>
      </w:pPr>
    </w:p>
    <w:p w14:paraId="520FEAEE" w14:textId="77777777" w:rsidR="00B454DD" w:rsidRPr="00B454DD" w:rsidRDefault="00B454DD" w:rsidP="005018F4">
      <w:pPr>
        <w:rPr>
          <w:rFonts w:cs="Arial"/>
          <w:b/>
        </w:rPr>
      </w:pPr>
      <w:r w:rsidRPr="00B454DD">
        <w:rPr>
          <w:rFonts w:cs="Arial"/>
          <w:b/>
        </w:rPr>
        <w:t>Outcome 1</w:t>
      </w:r>
    </w:p>
    <w:p w14:paraId="47B49A15" w14:textId="77777777" w:rsidR="00B454DD" w:rsidRPr="00B454DD" w:rsidRDefault="00B454DD" w:rsidP="005018F4">
      <w:pPr>
        <w:rPr>
          <w:rFonts w:cs="Arial"/>
        </w:rPr>
      </w:pPr>
    </w:p>
    <w:p w14:paraId="7687FE81" w14:textId="5950580F" w:rsidR="00B454DD" w:rsidRPr="00DC7818" w:rsidRDefault="00DC7818" w:rsidP="00DC6958">
      <w:pPr>
        <w:keepNext/>
        <w:ind w:left="1134" w:hanging="1134"/>
        <w:rPr>
          <w:rFonts w:cs="Arial"/>
        </w:rPr>
      </w:pPr>
      <w:r w:rsidRPr="00661359">
        <w:t xml:space="preserve">Demonstrate knowledge of the </w:t>
      </w:r>
      <w:r w:rsidR="00D533E0">
        <w:t>effects</w:t>
      </w:r>
      <w:r w:rsidR="00D533E0" w:rsidRPr="00661359">
        <w:t xml:space="preserve"> </w:t>
      </w:r>
      <w:r w:rsidRPr="00661359">
        <w:t>of alcohol and other drugs</w:t>
      </w:r>
      <w:r w:rsidR="00D533E0">
        <w:t xml:space="preserve"> on self</w:t>
      </w:r>
      <w:r w:rsidR="00B454DD" w:rsidRPr="00DC7818">
        <w:rPr>
          <w:rFonts w:cs="Arial"/>
        </w:rPr>
        <w:t>.</w:t>
      </w:r>
    </w:p>
    <w:p w14:paraId="5A3B83C3" w14:textId="77777777" w:rsidR="00B454DD" w:rsidRPr="00B454DD" w:rsidRDefault="00B454DD" w:rsidP="00B454DD">
      <w:pPr>
        <w:rPr>
          <w:rFonts w:cs="Arial"/>
        </w:rPr>
      </w:pPr>
    </w:p>
    <w:p w14:paraId="383AB512" w14:textId="77777777" w:rsidR="00B454DD" w:rsidRPr="00B454DD" w:rsidRDefault="00C75E74" w:rsidP="00B454DD">
      <w:pPr>
        <w:rPr>
          <w:rFonts w:cs="Arial"/>
          <w:b/>
        </w:rPr>
      </w:pPr>
      <w:r>
        <w:rPr>
          <w:rFonts w:cs="Arial"/>
          <w:b/>
        </w:rPr>
        <w:t>Performance criteria</w:t>
      </w:r>
    </w:p>
    <w:p w14:paraId="3F41363A" w14:textId="77777777" w:rsidR="00B454DD" w:rsidRPr="00B454DD" w:rsidRDefault="00B454DD" w:rsidP="00B454DD">
      <w:pPr>
        <w:rPr>
          <w:rFonts w:cs="Arial"/>
          <w:b/>
        </w:rPr>
      </w:pPr>
    </w:p>
    <w:p w14:paraId="43CA1BDF" w14:textId="4051E215" w:rsidR="00767BF3" w:rsidRPr="00B454DD" w:rsidRDefault="00767BF3" w:rsidP="00767BF3">
      <w:pPr>
        <w:tabs>
          <w:tab w:val="left" w:pos="1134"/>
        </w:tabs>
        <w:ind w:left="1134" w:hanging="1134"/>
        <w:rPr>
          <w:rFonts w:cs="Arial"/>
        </w:rPr>
      </w:pPr>
      <w:r w:rsidRPr="00B454DD">
        <w:rPr>
          <w:rFonts w:cs="Arial"/>
        </w:rPr>
        <w:t>1.</w:t>
      </w:r>
      <w:r>
        <w:rPr>
          <w:rFonts w:cs="Arial"/>
        </w:rPr>
        <w:t>1</w:t>
      </w:r>
      <w:r w:rsidRPr="00B454DD">
        <w:rPr>
          <w:rFonts w:cs="Arial"/>
        </w:rPr>
        <w:tab/>
      </w:r>
      <w:r>
        <w:rPr>
          <w:rFonts w:cs="Arial"/>
        </w:rPr>
        <w:t>Alcohol and other d</w:t>
      </w:r>
      <w:r w:rsidRPr="00B454DD">
        <w:rPr>
          <w:rFonts w:cs="Arial"/>
        </w:rPr>
        <w:t xml:space="preserve">rugs are described in terms of their physical </w:t>
      </w:r>
      <w:r w:rsidR="00F17340">
        <w:rPr>
          <w:rFonts w:cs="Arial"/>
        </w:rPr>
        <w:t xml:space="preserve">and </w:t>
      </w:r>
      <w:r w:rsidRPr="00B454DD">
        <w:rPr>
          <w:rFonts w:cs="Arial"/>
        </w:rPr>
        <w:t>emotional effects.</w:t>
      </w:r>
    </w:p>
    <w:p w14:paraId="3B9C1AD2" w14:textId="1A4C09B4" w:rsidR="00767BF3" w:rsidRPr="00B454DD" w:rsidRDefault="00767BF3" w:rsidP="00767BF3">
      <w:pPr>
        <w:tabs>
          <w:tab w:val="left" w:pos="1134"/>
        </w:tabs>
        <w:ind w:left="1134" w:hanging="1134"/>
        <w:rPr>
          <w:rFonts w:cs="Arial"/>
        </w:rPr>
      </w:pPr>
    </w:p>
    <w:p w14:paraId="372311DE" w14:textId="4F7E47B3" w:rsidR="00B454DD" w:rsidRPr="00B454DD" w:rsidRDefault="00767BF3" w:rsidP="00D533E0">
      <w:pPr>
        <w:tabs>
          <w:tab w:val="left" w:pos="1134"/>
        </w:tabs>
        <w:ind w:left="1134" w:hanging="1134"/>
        <w:rPr>
          <w:rFonts w:cs="Arial"/>
        </w:rPr>
      </w:pPr>
      <w:r w:rsidRPr="00B454DD">
        <w:rPr>
          <w:rFonts w:cs="Arial"/>
        </w:rPr>
        <w:t>1.</w:t>
      </w:r>
      <w:r>
        <w:rPr>
          <w:rFonts w:cs="Arial"/>
        </w:rPr>
        <w:t>2</w:t>
      </w:r>
      <w:r w:rsidRPr="00B454DD">
        <w:rPr>
          <w:rFonts w:cs="Arial"/>
        </w:rPr>
        <w:tab/>
      </w:r>
      <w:r w:rsidR="00B454DD" w:rsidRPr="00B454DD">
        <w:rPr>
          <w:rFonts w:cs="Arial"/>
        </w:rPr>
        <w:t xml:space="preserve">Signs which would indicate unsafe use of alcohol and other drugs are described in terms of </w:t>
      </w:r>
      <w:r w:rsidR="00F17340">
        <w:rPr>
          <w:rFonts w:cs="Arial"/>
        </w:rPr>
        <w:t xml:space="preserve">own </w:t>
      </w:r>
      <w:r w:rsidR="00B454DD" w:rsidRPr="00B454DD">
        <w:rPr>
          <w:rFonts w:cs="Arial"/>
        </w:rPr>
        <w:t xml:space="preserve">health </w:t>
      </w:r>
      <w:r w:rsidR="00F17340">
        <w:rPr>
          <w:rFonts w:cs="Arial"/>
        </w:rPr>
        <w:t xml:space="preserve">and </w:t>
      </w:r>
      <w:r w:rsidR="00B454DD" w:rsidRPr="00B454DD">
        <w:rPr>
          <w:rFonts w:cs="Arial"/>
        </w:rPr>
        <w:t>work or study.</w:t>
      </w:r>
    </w:p>
    <w:p w14:paraId="577136CE" w14:textId="77777777" w:rsidR="00B454DD" w:rsidRPr="00B454DD" w:rsidRDefault="00B454DD" w:rsidP="00B454DD">
      <w:pPr>
        <w:ind w:left="1134" w:hanging="1134"/>
        <w:rPr>
          <w:rFonts w:cs="Arial"/>
        </w:rPr>
      </w:pPr>
    </w:p>
    <w:p w14:paraId="141DE515" w14:textId="0036637B" w:rsidR="00B454DD" w:rsidRPr="00B454DD" w:rsidRDefault="00767BF3">
      <w:pPr>
        <w:tabs>
          <w:tab w:val="left" w:pos="1134"/>
        </w:tabs>
        <w:ind w:left="1134" w:hanging="1134"/>
        <w:rPr>
          <w:rFonts w:cs="Arial"/>
        </w:rPr>
      </w:pPr>
      <w:r>
        <w:rPr>
          <w:rFonts w:cs="Arial"/>
        </w:rPr>
        <w:t>1.</w:t>
      </w:r>
      <w:r w:rsidR="00F17340">
        <w:rPr>
          <w:rFonts w:cs="Arial"/>
        </w:rPr>
        <w:t>3</w:t>
      </w:r>
      <w:r w:rsidR="00B454DD" w:rsidRPr="00B454DD">
        <w:rPr>
          <w:rFonts w:cs="Arial"/>
        </w:rPr>
        <w:tab/>
        <w:t xml:space="preserve">Three </w:t>
      </w:r>
      <w:r w:rsidR="000579A1">
        <w:rPr>
          <w:rFonts w:cs="Arial"/>
        </w:rPr>
        <w:t xml:space="preserve">sources </w:t>
      </w:r>
      <w:r w:rsidR="00B454DD" w:rsidRPr="00B454DD">
        <w:rPr>
          <w:rFonts w:cs="Arial"/>
        </w:rPr>
        <w:t>that assist with drug and/or alcohol advice are identified by name, location, and service</w:t>
      </w:r>
      <w:r w:rsidR="001D683C">
        <w:rPr>
          <w:rFonts w:cs="Arial"/>
        </w:rPr>
        <w:t>(</w:t>
      </w:r>
      <w:r w:rsidR="00B454DD" w:rsidRPr="00B454DD">
        <w:rPr>
          <w:rFonts w:cs="Arial"/>
        </w:rPr>
        <w:t>s</w:t>
      </w:r>
      <w:r w:rsidR="001D683C">
        <w:rPr>
          <w:rFonts w:cs="Arial"/>
        </w:rPr>
        <w:t>)</w:t>
      </w:r>
      <w:r w:rsidR="00B454DD" w:rsidRPr="00B454DD">
        <w:rPr>
          <w:rFonts w:cs="Arial"/>
        </w:rPr>
        <w:t xml:space="preserve"> provided.</w:t>
      </w:r>
    </w:p>
    <w:p w14:paraId="59EA08E8" w14:textId="77777777" w:rsidR="006B3477" w:rsidRDefault="006B3477">
      <w:pPr>
        <w:tabs>
          <w:tab w:val="left" w:pos="1134"/>
          <w:tab w:val="left" w:pos="2552"/>
        </w:tabs>
        <w:ind w:left="1134" w:hanging="1134"/>
        <w:rPr>
          <w:rFonts w:cs="Arial"/>
        </w:rPr>
      </w:pPr>
    </w:p>
    <w:p w14:paraId="0264988F" w14:textId="77777777" w:rsidR="006B3477" w:rsidRDefault="006B3477">
      <w:pPr>
        <w:pStyle w:val="StyleLeft0cmHanging2cm"/>
        <w:keepNext/>
        <w:pBdr>
          <w:top w:val="single" w:sz="24" w:space="1" w:color="C0C0C0"/>
        </w:pBdr>
        <w:ind w:left="1134" w:hanging="11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6254"/>
      </w:tblGrid>
      <w:tr w:rsidR="006B3477" w14:paraId="15CE3B18" w14:textId="77777777" w:rsidTr="00B454DD">
        <w:trPr>
          <w:cantSplit/>
        </w:trPr>
        <w:tc>
          <w:tcPr>
            <w:tcW w:w="3588" w:type="dxa"/>
            <w:shd w:val="clear" w:color="auto" w:fill="F3F3F3"/>
            <w:tcMar>
              <w:top w:w="60" w:type="dxa"/>
              <w:bottom w:w="60" w:type="dxa"/>
            </w:tcMar>
          </w:tcPr>
          <w:p w14:paraId="683D451E" w14:textId="77777777" w:rsidR="006B3477" w:rsidRDefault="006B3477" w:rsidP="005018F4">
            <w:pPr>
              <w:pStyle w:val="StyleBoldBefore6ptAfter6pt"/>
              <w:keepNext/>
            </w:pPr>
            <w:r>
              <w:t>Planned review date</w:t>
            </w:r>
          </w:p>
        </w:tc>
        <w:tc>
          <w:tcPr>
            <w:tcW w:w="6254" w:type="dxa"/>
            <w:tcMar>
              <w:top w:w="60" w:type="dxa"/>
              <w:bottom w:w="60" w:type="dxa"/>
            </w:tcMar>
            <w:vAlign w:val="center"/>
          </w:tcPr>
          <w:p w14:paraId="11917F53" w14:textId="4193285F" w:rsidR="006B3477" w:rsidRDefault="00B454DD" w:rsidP="000D029C">
            <w:pPr>
              <w:pStyle w:val="StyleBefore6ptAfter6pt"/>
              <w:spacing w:before="0" w:after="0"/>
            </w:pPr>
            <w:r>
              <w:t xml:space="preserve">31 December </w:t>
            </w:r>
            <w:r w:rsidR="00413584">
              <w:t>2027</w:t>
            </w:r>
          </w:p>
        </w:tc>
      </w:tr>
    </w:tbl>
    <w:p w14:paraId="23BDB414" w14:textId="77777777" w:rsidR="006B3477" w:rsidRDefault="006B3477"/>
    <w:p w14:paraId="3FB22B1F" w14:textId="77777777" w:rsidR="005018F4" w:rsidRDefault="005018F4" w:rsidP="005018F4">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5018F4" w14:paraId="3DB9A175" w14:textId="77777777" w:rsidTr="00865BA0">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312D2585" w14:textId="77777777" w:rsidR="005018F4" w:rsidRDefault="005018F4" w:rsidP="00865BA0">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2C053051" w14:textId="77777777" w:rsidR="005018F4" w:rsidRDefault="005018F4" w:rsidP="00865BA0">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5E1B5476" w14:textId="77777777" w:rsidR="005018F4" w:rsidRDefault="005018F4" w:rsidP="00865BA0">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5984262E" w14:textId="77777777" w:rsidR="005018F4" w:rsidRDefault="005018F4" w:rsidP="00865BA0">
            <w:pPr>
              <w:autoSpaceDE w:val="0"/>
              <w:autoSpaceDN w:val="0"/>
              <w:adjustRightInd w:val="0"/>
              <w:rPr>
                <w:rStyle w:val="StyleBold"/>
              </w:rPr>
            </w:pPr>
            <w:r>
              <w:rPr>
                <w:rStyle w:val="StyleBold"/>
              </w:rPr>
              <w:t>Last Date for Assessment</w:t>
            </w:r>
          </w:p>
        </w:tc>
      </w:tr>
      <w:tr w:rsidR="005018F4" w14:paraId="01A38A71" w14:textId="77777777" w:rsidTr="00865BA0">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1573CAD1" w14:textId="77777777" w:rsidR="005018F4" w:rsidRDefault="005018F4" w:rsidP="00865BA0">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16386814" w14:textId="77777777" w:rsidR="005018F4" w:rsidRDefault="005018F4" w:rsidP="00865BA0">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0CFD8AEE" w14:textId="77777777" w:rsidR="005018F4" w:rsidRDefault="005018F4" w:rsidP="00865BA0">
            <w:pPr>
              <w:keepNext/>
              <w:rPr>
                <w:rFonts w:cs="Arial"/>
              </w:rPr>
            </w:pPr>
            <w:r>
              <w:rPr>
                <w:rFonts w:cs="Arial"/>
              </w:rPr>
              <w:t>21 June 1993</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5C780C2" w14:textId="77777777" w:rsidR="005018F4" w:rsidRDefault="00896AD6" w:rsidP="00865BA0">
            <w:pPr>
              <w:keepNext/>
              <w:rPr>
                <w:rFonts w:cs="Arial"/>
              </w:rPr>
            </w:pPr>
            <w:r>
              <w:rPr>
                <w:rFonts w:cs="Arial"/>
              </w:rPr>
              <w:t>31 December 2015</w:t>
            </w:r>
          </w:p>
        </w:tc>
      </w:tr>
      <w:tr w:rsidR="005018F4" w14:paraId="22D252EA" w14:textId="77777777" w:rsidTr="00865BA0">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A02BD2E" w14:textId="77777777" w:rsidR="005018F4" w:rsidRDefault="005018F4" w:rsidP="00865BA0">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56208D64" w14:textId="77777777" w:rsidR="005018F4" w:rsidRDefault="005018F4" w:rsidP="00865BA0">
            <w:pPr>
              <w:keepNext/>
              <w:rPr>
                <w:rFonts w:cs="Arial"/>
              </w:rPr>
            </w:pPr>
            <w:r>
              <w:rPr>
                <w:rFonts w:cs="Arial"/>
              </w:rPr>
              <w:t>2</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39DD0820" w14:textId="77777777" w:rsidR="005018F4" w:rsidRDefault="005018F4" w:rsidP="00865BA0">
            <w:pPr>
              <w:keepNext/>
              <w:rPr>
                <w:rFonts w:cs="Arial"/>
              </w:rPr>
            </w:pPr>
            <w:r>
              <w:rPr>
                <w:rFonts w:cs="Arial"/>
              </w:rPr>
              <w:t>4 October 1995</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6F8D8272" w14:textId="77777777" w:rsidR="005018F4" w:rsidRDefault="00896AD6" w:rsidP="00865BA0">
            <w:pPr>
              <w:keepNext/>
              <w:rPr>
                <w:rFonts w:cs="Arial"/>
              </w:rPr>
            </w:pPr>
            <w:r>
              <w:rPr>
                <w:rFonts w:cs="Arial"/>
              </w:rPr>
              <w:t>31 December 2015</w:t>
            </w:r>
          </w:p>
        </w:tc>
      </w:tr>
      <w:tr w:rsidR="005018F4" w14:paraId="1CACDD50" w14:textId="77777777" w:rsidTr="00865BA0">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9C3AC74" w14:textId="77777777" w:rsidR="005018F4" w:rsidRDefault="005018F4" w:rsidP="00865BA0">
            <w:pPr>
              <w:keepNext/>
              <w:rPr>
                <w:rFonts w:cs="Arial"/>
              </w:rPr>
            </w:pPr>
            <w:r>
              <w:rPr>
                <w:rFonts w:cs="Arial"/>
              </w:rPr>
              <w:t>Revision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62BBC8FD" w14:textId="77777777" w:rsidR="005018F4" w:rsidRDefault="005018F4" w:rsidP="00865BA0">
            <w:pPr>
              <w:keepNext/>
              <w:rPr>
                <w:rFonts w:cs="Arial"/>
              </w:rPr>
            </w:pPr>
            <w:r>
              <w:rPr>
                <w:rFonts w:cs="Arial"/>
              </w:rPr>
              <w:t>3</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591A6CA6" w14:textId="77777777" w:rsidR="005018F4" w:rsidRDefault="005018F4" w:rsidP="00865BA0">
            <w:pPr>
              <w:keepNext/>
              <w:rPr>
                <w:rFonts w:cs="Arial"/>
              </w:rPr>
            </w:pPr>
            <w:r>
              <w:rPr>
                <w:rFonts w:cs="Arial"/>
              </w:rPr>
              <w:t>18 March 1998</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65C6F4DE" w14:textId="77777777" w:rsidR="005018F4" w:rsidRDefault="00896AD6" w:rsidP="00865BA0">
            <w:pPr>
              <w:keepNext/>
              <w:rPr>
                <w:rFonts w:cs="Arial"/>
              </w:rPr>
            </w:pPr>
            <w:r>
              <w:rPr>
                <w:rFonts w:cs="Arial"/>
              </w:rPr>
              <w:t>31 December 2015</w:t>
            </w:r>
          </w:p>
        </w:tc>
      </w:tr>
      <w:tr w:rsidR="005018F4" w14:paraId="75175F3B" w14:textId="77777777" w:rsidTr="00865BA0">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2EB318C9" w14:textId="77777777" w:rsidR="005018F4" w:rsidRDefault="005018F4" w:rsidP="00865BA0">
            <w:pPr>
              <w:keepNext/>
              <w:rPr>
                <w:rFonts w:cs="Arial"/>
              </w:rPr>
            </w:pPr>
            <w:r>
              <w:rPr>
                <w:rFonts w:cs="Arial"/>
              </w:rPr>
              <w:t>Revision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27CA9EE1" w14:textId="77777777" w:rsidR="005018F4" w:rsidRDefault="005018F4" w:rsidP="00865BA0">
            <w:pPr>
              <w:keepNext/>
              <w:rPr>
                <w:rFonts w:cs="Arial"/>
              </w:rPr>
            </w:pPr>
            <w:r>
              <w:rPr>
                <w:rFonts w:cs="Arial"/>
              </w:rPr>
              <w:t>4</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233DD8A2" w14:textId="77777777" w:rsidR="005018F4" w:rsidRDefault="005018F4" w:rsidP="00865BA0">
            <w:pPr>
              <w:keepNext/>
              <w:rPr>
                <w:rFonts w:cs="Arial"/>
              </w:rPr>
            </w:pPr>
            <w:r>
              <w:rPr>
                <w:rFonts w:cs="Arial"/>
              </w:rPr>
              <w:t>12 October 1999</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16AC8FDA" w14:textId="77777777" w:rsidR="005018F4" w:rsidRDefault="00896AD6" w:rsidP="00865BA0">
            <w:pPr>
              <w:keepNext/>
              <w:rPr>
                <w:rFonts w:cs="Arial"/>
              </w:rPr>
            </w:pPr>
            <w:r>
              <w:rPr>
                <w:rFonts w:cs="Arial"/>
              </w:rPr>
              <w:t>31 December 2015</w:t>
            </w:r>
          </w:p>
        </w:tc>
      </w:tr>
      <w:tr w:rsidR="005018F4" w14:paraId="466E7F82" w14:textId="77777777" w:rsidTr="00865BA0">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1CAD4DC0" w14:textId="77777777" w:rsidR="005018F4" w:rsidRDefault="005018F4" w:rsidP="00865BA0">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3F8C8735" w14:textId="77777777" w:rsidR="005018F4" w:rsidRDefault="005018F4" w:rsidP="00865BA0">
            <w:pPr>
              <w:keepNext/>
              <w:rPr>
                <w:rFonts w:cs="Arial"/>
              </w:rPr>
            </w:pPr>
            <w:r>
              <w:rPr>
                <w:rFonts w:cs="Arial"/>
              </w:rPr>
              <w:t>5</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0D2BC889" w14:textId="77777777" w:rsidR="005018F4" w:rsidRDefault="005018F4" w:rsidP="00865BA0">
            <w:pPr>
              <w:keepNext/>
              <w:rPr>
                <w:rFonts w:cs="Arial"/>
              </w:rPr>
            </w:pPr>
            <w:r>
              <w:rPr>
                <w:rFonts w:cs="Arial"/>
              </w:rPr>
              <w:t>26 September 2001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63B8DFCC" w14:textId="77777777" w:rsidR="005018F4" w:rsidRDefault="00896AD6" w:rsidP="00865BA0">
            <w:pPr>
              <w:keepNext/>
              <w:rPr>
                <w:rFonts w:cs="Arial"/>
              </w:rPr>
            </w:pPr>
            <w:r>
              <w:rPr>
                <w:rFonts w:cs="Arial"/>
              </w:rPr>
              <w:t>31 December 2015</w:t>
            </w:r>
          </w:p>
        </w:tc>
      </w:tr>
      <w:tr w:rsidR="005018F4" w14:paraId="4784E24B" w14:textId="77777777" w:rsidTr="00865BA0">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181E755F" w14:textId="77777777" w:rsidR="005018F4" w:rsidRDefault="005018F4" w:rsidP="00865BA0">
            <w:pPr>
              <w:keepNext/>
              <w:rPr>
                <w:rFonts w:cs="Arial"/>
              </w:rPr>
            </w:pPr>
            <w:r>
              <w:rPr>
                <w:rFonts w:cs="Arial"/>
              </w:rPr>
              <w:t>Revision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63897A80" w14:textId="77777777" w:rsidR="005018F4" w:rsidRDefault="005018F4" w:rsidP="00865BA0">
            <w:pPr>
              <w:keepNext/>
              <w:rPr>
                <w:rFonts w:cs="Arial"/>
              </w:rPr>
            </w:pPr>
            <w:r>
              <w:rPr>
                <w:rFonts w:cs="Arial"/>
              </w:rPr>
              <w:t>6</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2C2D7B29" w14:textId="77777777" w:rsidR="005018F4" w:rsidRDefault="005018F4" w:rsidP="00865BA0">
            <w:pPr>
              <w:keepNext/>
              <w:rPr>
                <w:rFonts w:cs="Arial"/>
              </w:rPr>
            </w:pPr>
            <w:r>
              <w:rPr>
                <w:rFonts w:cs="Arial"/>
              </w:rPr>
              <w:t>12 September 2002</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67DA94A1" w14:textId="77777777" w:rsidR="005018F4" w:rsidRDefault="00896AD6" w:rsidP="00865BA0">
            <w:pPr>
              <w:keepNext/>
              <w:rPr>
                <w:rFonts w:cs="Arial"/>
              </w:rPr>
            </w:pPr>
            <w:r>
              <w:rPr>
                <w:rFonts w:cs="Arial"/>
              </w:rPr>
              <w:t>31 December 2015</w:t>
            </w:r>
          </w:p>
        </w:tc>
      </w:tr>
      <w:tr w:rsidR="005018F4" w14:paraId="7FDB4BEF" w14:textId="77777777" w:rsidTr="00865BA0">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4FEA301C" w14:textId="77777777" w:rsidR="005018F4" w:rsidRDefault="005018F4" w:rsidP="00865BA0">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66448C58" w14:textId="77777777" w:rsidR="005018F4" w:rsidRDefault="005018F4" w:rsidP="00865BA0">
            <w:pPr>
              <w:keepNext/>
              <w:rPr>
                <w:rFonts w:cs="Arial"/>
              </w:rPr>
            </w:pPr>
            <w:r>
              <w:rPr>
                <w:rFonts w:cs="Arial"/>
              </w:rPr>
              <w:t>7</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6EC8F491" w14:textId="77777777" w:rsidR="005018F4" w:rsidRDefault="005018F4" w:rsidP="00865BA0">
            <w:pPr>
              <w:keepNext/>
              <w:rPr>
                <w:rFonts w:cs="Arial"/>
              </w:rPr>
            </w:pPr>
            <w:r w:rsidRPr="00694445">
              <w:t>16 July 2010</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2E5B4E65" w14:textId="77777777" w:rsidR="005018F4" w:rsidRDefault="00896AD6" w:rsidP="00F64918">
            <w:pPr>
              <w:keepNext/>
              <w:rPr>
                <w:rFonts w:cs="Arial"/>
              </w:rPr>
            </w:pPr>
            <w:r>
              <w:rPr>
                <w:rFonts w:cs="Arial"/>
              </w:rPr>
              <w:t xml:space="preserve">31 December </w:t>
            </w:r>
            <w:r w:rsidR="00F64918">
              <w:rPr>
                <w:rFonts w:cs="Arial"/>
              </w:rPr>
              <w:t>2017</w:t>
            </w:r>
          </w:p>
        </w:tc>
      </w:tr>
      <w:tr w:rsidR="005018F4" w14:paraId="0FEA9D5F" w14:textId="77777777" w:rsidTr="00865BA0">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1AFD0876" w14:textId="77777777" w:rsidR="005018F4" w:rsidRDefault="005018F4" w:rsidP="00865BA0">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83A5B6C" w14:textId="77777777" w:rsidR="005018F4" w:rsidRDefault="005018F4" w:rsidP="00865BA0">
            <w:pPr>
              <w:keepNext/>
              <w:rPr>
                <w:rFonts w:cs="Arial"/>
              </w:rPr>
            </w:pPr>
            <w:r>
              <w:rPr>
                <w:rFonts w:cs="Arial"/>
              </w:rPr>
              <w:t>8</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24627" w14:textId="77777777" w:rsidR="005018F4" w:rsidRPr="00694445" w:rsidRDefault="00985891" w:rsidP="00865BA0">
            <w:pPr>
              <w:keepNext/>
            </w:pPr>
            <w:r>
              <w:t>18 June 2015</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2ADA3331" w14:textId="77777777" w:rsidR="005018F4" w:rsidRDefault="00CC5CB0" w:rsidP="00865BA0">
            <w:pPr>
              <w:keepNext/>
              <w:rPr>
                <w:rFonts w:cs="Arial"/>
              </w:rPr>
            </w:pPr>
            <w:r w:rsidRPr="00721DE9">
              <w:rPr>
                <w:rFonts w:eastAsia="Calibri" w:cs="Arial"/>
                <w:szCs w:val="24"/>
              </w:rPr>
              <w:t>31 December 2019</w:t>
            </w:r>
          </w:p>
        </w:tc>
      </w:tr>
      <w:tr w:rsidR="00C75E74" w14:paraId="2B5232E4" w14:textId="77777777" w:rsidTr="00865BA0">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36A3EC53" w14:textId="77777777" w:rsidR="00C75E74" w:rsidRDefault="00C75E74" w:rsidP="00865BA0">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49AE0970" w14:textId="77777777" w:rsidR="00C75E74" w:rsidRDefault="00C75E74" w:rsidP="00865BA0">
            <w:pPr>
              <w:keepNext/>
              <w:rPr>
                <w:rFonts w:cs="Arial"/>
              </w:rPr>
            </w:pPr>
            <w:r>
              <w:rPr>
                <w:rFonts w:cs="Arial"/>
              </w:rPr>
              <w:t>9</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34ACECFF" w14:textId="77777777" w:rsidR="00C75E74" w:rsidRDefault="002E6822" w:rsidP="00865BA0">
            <w:pPr>
              <w:keepNext/>
            </w:pPr>
            <w:r>
              <w:t>25 January 2018</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690CCE46" w14:textId="77777777" w:rsidR="00C75E74" w:rsidRDefault="00715B61" w:rsidP="00865BA0">
            <w:pPr>
              <w:keepNext/>
              <w:rPr>
                <w:rFonts w:cs="Arial"/>
              </w:rPr>
            </w:pPr>
            <w:r>
              <w:rPr>
                <w:rFonts w:cs="Arial"/>
              </w:rPr>
              <w:t>N/A</w:t>
            </w:r>
          </w:p>
        </w:tc>
      </w:tr>
      <w:tr w:rsidR="00680C63" w14:paraId="0539F8D6" w14:textId="77777777" w:rsidTr="00865BA0">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35DC866D" w14:textId="1C0BE8E9" w:rsidR="00680C63" w:rsidRDefault="00680C63" w:rsidP="00865BA0">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681DC396" w14:textId="23B42ED6" w:rsidR="00680C63" w:rsidRDefault="00680C63" w:rsidP="00865BA0">
            <w:pPr>
              <w:keepNext/>
              <w:rPr>
                <w:rFonts w:cs="Arial"/>
              </w:rPr>
            </w:pPr>
            <w:r>
              <w:t>10</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58E52FFA" w14:textId="77777777" w:rsidR="00680C63" w:rsidRDefault="00680C63" w:rsidP="00865BA0">
            <w:pPr>
              <w:keepNext/>
            </w:pP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6B6E6588" w14:textId="5255F543" w:rsidR="00680C63" w:rsidRDefault="00413584" w:rsidP="00865BA0">
            <w:pPr>
              <w:keepNext/>
              <w:rPr>
                <w:rFonts w:cs="Arial"/>
              </w:rPr>
            </w:pPr>
            <w:r w:rsidRPr="00164195">
              <w:rPr>
                <w:rFonts w:cs="Arial"/>
              </w:rPr>
              <w:t>N/A</w:t>
            </w:r>
          </w:p>
        </w:tc>
      </w:tr>
    </w:tbl>
    <w:p w14:paraId="0B77180B" w14:textId="77777777" w:rsidR="005018F4" w:rsidRDefault="005018F4" w:rsidP="005018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5018F4" w14:paraId="42E11FC8" w14:textId="77777777" w:rsidTr="00865BA0">
        <w:tc>
          <w:tcPr>
            <w:tcW w:w="7548" w:type="dxa"/>
            <w:shd w:val="clear" w:color="auto" w:fill="F3F3F3"/>
            <w:tcMar>
              <w:top w:w="60" w:type="dxa"/>
              <w:bottom w:w="60" w:type="dxa"/>
            </w:tcMar>
          </w:tcPr>
          <w:p w14:paraId="72E20ED9" w14:textId="77777777" w:rsidR="005018F4" w:rsidRDefault="005018F4" w:rsidP="00865BA0">
            <w:pPr>
              <w:pStyle w:val="StyleBoldBefore6ptAfter6pt"/>
              <w:keepNext/>
              <w:keepLines/>
              <w:spacing w:before="0" w:after="0"/>
            </w:pPr>
            <w:r>
              <w:t>Consent and Moderation Requirements (CMR) reference</w:t>
            </w:r>
          </w:p>
        </w:tc>
        <w:tc>
          <w:tcPr>
            <w:tcW w:w="2294" w:type="dxa"/>
            <w:tcMar>
              <w:top w:w="60" w:type="dxa"/>
              <w:bottom w:w="60" w:type="dxa"/>
            </w:tcMar>
          </w:tcPr>
          <w:p w14:paraId="65608527" w14:textId="77777777" w:rsidR="005018F4" w:rsidRDefault="00CC5CB0" w:rsidP="00865BA0">
            <w:pPr>
              <w:pStyle w:val="StyleBefore6ptAfter6pt"/>
              <w:keepNext/>
              <w:keepLines/>
              <w:spacing w:before="0" w:after="0"/>
            </w:pPr>
            <w:r>
              <w:t>0113</w:t>
            </w:r>
          </w:p>
        </w:tc>
      </w:tr>
    </w:tbl>
    <w:p w14:paraId="518D03BD" w14:textId="77777777" w:rsidR="005018F4" w:rsidRDefault="005018F4" w:rsidP="005018F4">
      <w:pPr>
        <w:keepNext/>
        <w:keepLines/>
        <w:rPr>
          <w:rFonts w:cs="Arial"/>
        </w:rPr>
      </w:pPr>
      <w:r>
        <w:rPr>
          <w:rFonts w:cs="Arial"/>
        </w:rPr>
        <w:t xml:space="preserve">This CMR can be accessed at </w:t>
      </w:r>
      <w:hyperlink r:id="rId7" w:history="1">
        <w:r>
          <w:rPr>
            <w:rStyle w:val="Hyperlink"/>
          </w:rPr>
          <w:t>http://www.nzqa.govt.nz/framework/search/index.do</w:t>
        </w:r>
      </w:hyperlink>
      <w:r>
        <w:rPr>
          <w:rFonts w:cs="Arial"/>
        </w:rPr>
        <w:t>.</w:t>
      </w:r>
    </w:p>
    <w:p w14:paraId="29D53976" w14:textId="77777777" w:rsidR="005018F4" w:rsidRDefault="005018F4" w:rsidP="005018F4">
      <w:pPr>
        <w:rPr>
          <w:rFonts w:cs="Arial"/>
        </w:rPr>
      </w:pPr>
    </w:p>
    <w:p w14:paraId="740A2880" w14:textId="77777777" w:rsidR="006B3477" w:rsidRDefault="006B3477" w:rsidP="00D7388C">
      <w:pPr>
        <w:keepNext/>
        <w:keepLines/>
        <w:pBdr>
          <w:top w:val="single" w:sz="4" w:space="1" w:color="auto"/>
        </w:pBdr>
        <w:rPr>
          <w:b/>
          <w:bCs/>
        </w:rPr>
      </w:pPr>
      <w:r>
        <w:rPr>
          <w:b/>
          <w:bCs/>
        </w:rPr>
        <w:t>Comments on this unit standard</w:t>
      </w:r>
    </w:p>
    <w:p w14:paraId="44C09F06" w14:textId="77777777" w:rsidR="006B3477" w:rsidRDefault="006B3477" w:rsidP="00D7388C">
      <w:pPr>
        <w:keepNext/>
        <w:keepLines/>
      </w:pPr>
    </w:p>
    <w:p w14:paraId="2CA19202" w14:textId="77777777" w:rsidR="006B3477" w:rsidRDefault="00D7388C" w:rsidP="00D7388C">
      <w:pPr>
        <w:keepNext/>
        <w:keepLines/>
      </w:pPr>
      <w:r w:rsidRPr="00D0265A">
        <w:rPr>
          <w:rFonts w:cs="Arial"/>
        </w:rPr>
        <w:t xml:space="preserve">Please contact NZQA National Qualifications Services </w:t>
      </w:r>
      <w:hyperlink r:id="rId8" w:history="1">
        <w:r w:rsidRPr="00D0265A">
          <w:rPr>
            <w:rStyle w:val="Hyperlink"/>
            <w:rFonts w:cs="Arial"/>
          </w:rPr>
          <w:t>nqs@nzqa.govt.nz</w:t>
        </w:r>
      </w:hyperlink>
      <w:r w:rsidRPr="00D0265A">
        <w:rPr>
          <w:rFonts w:cs="Arial"/>
        </w:rPr>
        <w:t xml:space="preserve"> if you wish to suggest changes to the content of this unit standard.</w:t>
      </w:r>
    </w:p>
    <w:sectPr w:rsidR="006B3477">
      <w:headerReference w:type="default" r:id="rId9"/>
      <w:footerReference w:type="default" r:id="rId10"/>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C029F" w14:textId="77777777" w:rsidR="00581794" w:rsidRDefault="00581794">
      <w:r>
        <w:separator/>
      </w:r>
    </w:p>
  </w:endnote>
  <w:endnote w:type="continuationSeparator" w:id="0">
    <w:p w14:paraId="767AEA22" w14:textId="77777777" w:rsidR="00581794" w:rsidRDefault="0058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4819"/>
      <w:gridCol w:w="4819"/>
    </w:tblGrid>
    <w:tr w:rsidR="008D0965" w14:paraId="2F5AFC7B" w14:textId="77777777">
      <w:trPr>
        <w:trHeight w:val="300"/>
      </w:trPr>
      <w:tc>
        <w:tcPr>
          <w:tcW w:w="4923" w:type="dxa"/>
          <w:tcBorders>
            <w:top w:val="single" w:sz="12" w:space="0" w:color="auto"/>
            <w:left w:val="nil"/>
            <w:bottom w:val="nil"/>
            <w:right w:val="nil"/>
          </w:tcBorders>
        </w:tcPr>
        <w:p w14:paraId="55AF8C6D" w14:textId="77777777" w:rsidR="008D0965" w:rsidRPr="00B454DD" w:rsidRDefault="008D0965">
          <w:pPr>
            <w:rPr>
              <w:bCs/>
              <w:iCs/>
              <w:sz w:val="20"/>
            </w:rPr>
          </w:pPr>
          <w:r w:rsidRPr="00B454DD">
            <w:rPr>
              <w:bCs/>
              <w:iCs/>
              <w:sz w:val="20"/>
            </w:rPr>
            <w:t>NZQA National Qualifications Services</w:t>
          </w:r>
        </w:p>
        <w:p w14:paraId="4AAB06DE" w14:textId="77777777" w:rsidR="008D0965" w:rsidRPr="00B454DD" w:rsidRDefault="008D0965">
          <w:pPr>
            <w:rPr>
              <w:bCs/>
              <w:iCs/>
              <w:sz w:val="20"/>
            </w:rPr>
          </w:pPr>
          <w:r w:rsidRPr="00B454DD">
            <w:rPr>
              <w:bCs/>
              <w:iCs/>
              <w:sz w:val="20"/>
            </w:rPr>
            <w:t>SSB Code 130301</w:t>
          </w:r>
        </w:p>
      </w:tc>
      <w:tc>
        <w:tcPr>
          <w:tcW w:w="4924" w:type="dxa"/>
          <w:tcBorders>
            <w:top w:val="single" w:sz="12" w:space="0" w:color="auto"/>
            <w:left w:val="nil"/>
            <w:bottom w:val="nil"/>
            <w:right w:val="nil"/>
          </w:tcBorders>
        </w:tcPr>
        <w:p w14:paraId="1E334140" w14:textId="078BBC44" w:rsidR="008D0965" w:rsidRDefault="008D0965">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DB0DE4">
            <w:rPr>
              <w:bCs/>
              <w:noProof/>
              <w:sz w:val="20"/>
            </w:rPr>
            <w:t>2022</w:t>
          </w:r>
          <w:r>
            <w:rPr>
              <w:bCs/>
              <w:sz w:val="20"/>
            </w:rPr>
            <w:fldChar w:fldCharType="end"/>
          </w:r>
        </w:p>
      </w:tc>
    </w:tr>
  </w:tbl>
  <w:p w14:paraId="5094D86B" w14:textId="77777777" w:rsidR="008D0965" w:rsidRDefault="008D0965">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CD6EF" w14:textId="77777777" w:rsidR="00581794" w:rsidRDefault="00581794">
      <w:r>
        <w:separator/>
      </w:r>
    </w:p>
  </w:footnote>
  <w:footnote w:type="continuationSeparator" w:id="0">
    <w:p w14:paraId="14AF8A95" w14:textId="77777777" w:rsidR="00581794" w:rsidRDefault="00581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821"/>
      <w:gridCol w:w="4817"/>
    </w:tblGrid>
    <w:tr w:rsidR="008D0965" w14:paraId="47C2B885" w14:textId="77777777" w:rsidTr="00865BA0">
      <w:tc>
        <w:tcPr>
          <w:tcW w:w="4927" w:type="dxa"/>
          <w:shd w:val="clear" w:color="auto" w:fill="auto"/>
        </w:tcPr>
        <w:p w14:paraId="04D73A85" w14:textId="006C605D" w:rsidR="008D0965" w:rsidRDefault="008D0965">
          <w:r>
            <w:t xml:space="preserve">NZQA </w:t>
          </w:r>
          <w:r w:rsidR="00235128">
            <w:t>unit</w:t>
          </w:r>
          <w:r>
            <w:t xml:space="preserve"> standard</w:t>
          </w:r>
        </w:p>
      </w:tc>
      <w:tc>
        <w:tcPr>
          <w:tcW w:w="4927" w:type="dxa"/>
          <w:shd w:val="clear" w:color="auto" w:fill="auto"/>
        </w:tcPr>
        <w:p w14:paraId="4FECBAAF" w14:textId="45809151" w:rsidR="008D0965" w:rsidRDefault="008D0965" w:rsidP="00865BA0">
          <w:pPr>
            <w:jc w:val="right"/>
          </w:pPr>
          <w:r>
            <w:t xml:space="preserve">548 version </w:t>
          </w:r>
          <w:r w:rsidR="00680C63">
            <w:t>10</w:t>
          </w:r>
        </w:p>
      </w:tc>
    </w:tr>
    <w:tr w:rsidR="008D0965" w14:paraId="65972A60" w14:textId="77777777" w:rsidTr="00865BA0">
      <w:tc>
        <w:tcPr>
          <w:tcW w:w="4927" w:type="dxa"/>
          <w:shd w:val="clear" w:color="auto" w:fill="auto"/>
        </w:tcPr>
        <w:p w14:paraId="142DA434" w14:textId="77777777" w:rsidR="008D0965" w:rsidRDefault="008D0965"/>
      </w:tc>
      <w:tc>
        <w:tcPr>
          <w:tcW w:w="4927" w:type="dxa"/>
          <w:shd w:val="clear" w:color="auto" w:fill="auto"/>
        </w:tcPr>
        <w:p w14:paraId="36012938" w14:textId="77777777" w:rsidR="008D0965" w:rsidRDefault="008D0965" w:rsidP="00865BA0">
          <w:pPr>
            <w:jc w:val="right"/>
          </w:pPr>
          <w:r>
            <w:t xml:space="preserve">Page </w:t>
          </w:r>
          <w:r>
            <w:fldChar w:fldCharType="begin"/>
          </w:r>
          <w:r>
            <w:instrText xml:space="preserve"> page </w:instrText>
          </w:r>
          <w:r>
            <w:fldChar w:fldCharType="separate"/>
          </w:r>
          <w:r w:rsidR="000A0D30">
            <w:rPr>
              <w:noProof/>
            </w:rPr>
            <w:t>1</w:t>
          </w:r>
          <w:r>
            <w:fldChar w:fldCharType="end"/>
          </w:r>
          <w:r>
            <w:t xml:space="preserve"> of </w:t>
          </w:r>
          <w:fldSimple w:instr=" numpages ">
            <w:r w:rsidR="000A0D30">
              <w:rPr>
                <w:noProof/>
              </w:rPr>
              <w:t>2</w:t>
            </w:r>
          </w:fldSimple>
        </w:p>
      </w:tc>
    </w:tr>
  </w:tbl>
  <w:p w14:paraId="73418754" w14:textId="58B987E8" w:rsidR="008D0965" w:rsidRDefault="00DB0DE4">
    <w:pPr>
      <w:jc w:val="right"/>
    </w:pPr>
    <w:sdt>
      <w:sdtPr>
        <w:id w:val="1205982393"/>
        <w:docPartObj>
          <w:docPartGallery w:val="Watermarks"/>
          <w:docPartUnique/>
        </w:docPartObj>
      </w:sdtPr>
      <w:sdtEndPr/>
      <w:sdtContent>
        <w:r>
          <w:rPr>
            <w:noProof/>
          </w:rPr>
          <w:pict w14:anchorId="289B33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multilevel"/>
    <w:tmpl w:val="3A902FF8"/>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4C6270"/>
    <w:multiLevelType w:val="multilevel"/>
    <w:tmpl w:val="A490B184"/>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1B5148"/>
    <w:multiLevelType w:val="multilevel"/>
    <w:tmpl w:val="4C92E16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0" w15:restartNumberingAfterBreak="0">
    <w:nsid w:val="388B5973"/>
    <w:multiLevelType w:val="multilevel"/>
    <w:tmpl w:val="467C5696"/>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955CF"/>
    <w:multiLevelType w:val="multilevel"/>
    <w:tmpl w:val="62BC477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CF1F11"/>
    <w:multiLevelType w:val="multilevel"/>
    <w:tmpl w:val="36F4A094"/>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83275D"/>
    <w:multiLevelType w:val="multilevel"/>
    <w:tmpl w:val="B2C6C544"/>
    <w:lvl w:ilvl="0">
      <w:start w:val="1"/>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5319127">
    <w:abstractNumId w:val="3"/>
  </w:num>
  <w:num w:numId="2" w16cid:durableId="631328221">
    <w:abstractNumId w:val="5"/>
  </w:num>
  <w:num w:numId="3" w16cid:durableId="1977488678">
    <w:abstractNumId w:val="8"/>
  </w:num>
  <w:num w:numId="4" w16cid:durableId="2059549690">
    <w:abstractNumId w:val="14"/>
  </w:num>
  <w:num w:numId="5" w16cid:durableId="433676612">
    <w:abstractNumId w:val="0"/>
  </w:num>
  <w:num w:numId="6" w16cid:durableId="2013140287">
    <w:abstractNumId w:val="20"/>
  </w:num>
  <w:num w:numId="7" w16cid:durableId="2144733133">
    <w:abstractNumId w:val="16"/>
  </w:num>
  <w:num w:numId="8" w16cid:durableId="1583299908">
    <w:abstractNumId w:val="2"/>
  </w:num>
  <w:num w:numId="9" w16cid:durableId="1868332283">
    <w:abstractNumId w:val="19"/>
  </w:num>
  <w:num w:numId="10" w16cid:durableId="1663697255">
    <w:abstractNumId w:val="15"/>
  </w:num>
  <w:num w:numId="11" w16cid:durableId="498498694">
    <w:abstractNumId w:val="24"/>
  </w:num>
  <w:num w:numId="12" w16cid:durableId="1295214563">
    <w:abstractNumId w:val="13"/>
  </w:num>
  <w:num w:numId="13" w16cid:durableId="1352027283">
    <w:abstractNumId w:val="17"/>
  </w:num>
  <w:num w:numId="14" w16cid:durableId="50035485">
    <w:abstractNumId w:val="22"/>
  </w:num>
  <w:num w:numId="15" w16cid:durableId="1295601545">
    <w:abstractNumId w:val="11"/>
  </w:num>
  <w:num w:numId="16" w16cid:durableId="1978300087">
    <w:abstractNumId w:val="25"/>
  </w:num>
  <w:num w:numId="17" w16cid:durableId="1581400692">
    <w:abstractNumId w:val="10"/>
  </w:num>
  <w:num w:numId="18" w16cid:durableId="1133862945">
    <w:abstractNumId w:val="27"/>
  </w:num>
  <w:num w:numId="19" w16cid:durableId="227495724">
    <w:abstractNumId w:val="4"/>
  </w:num>
  <w:num w:numId="20" w16cid:durableId="1071081943">
    <w:abstractNumId w:val="1"/>
  </w:num>
  <w:num w:numId="21" w16cid:durableId="233125359">
    <w:abstractNumId w:val="21"/>
  </w:num>
  <w:num w:numId="22" w16cid:durableId="1349133901">
    <w:abstractNumId w:val="12"/>
  </w:num>
  <w:num w:numId="23" w16cid:durableId="701898486">
    <w:abstractNumId w:val="7"/>
  </w:num>
  <w:num w:numId="24" w16cid:durableId="1900094394">
    <w:abstractNumId w:val="9"/>
  </w:num>
  <w:num w:numId="25" w16cid:durableId="1737045764">
    <w:abstractNumId w:val="23"/>
  </w:num>
  <w:num w:numId="26" w16cid:durableId="585649524">
    <w:abstractNumId w:val="26"/>
  </w:num>
  <w:num w:numId="27" w16cid:durableId="1510025059">
    <w:abstractNumId w:val="18"/>
  </w:num>
  <w:num w:numId="28" w16cid:durableId="6670277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NZ"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E3"/>
    <w:rsid w:val="00021EBD"/>
    <w:rsid w:val="000579A1"/>
    <w:rsid w:val="00093223"/>
    <w:rsid w:val="000A0D30"/>
    <w:rsid w:val="000B150E"/>
    <w:rsid w:val="000B495B"/>
    <w:rsid w:val="000D029C"/>
    <w:rsid w:val="000D3812"/>
    <w:rsid w:val="000E62CA"/>
    <w:rsid w:val="00120C0F"/>
    <w:rsid w:val="0012106E"/>
    <w:rsid w:val="001241E2"/>
    <w:rsid w:val="001749C0"/>
    <w:rsid w:val="00193B1D"/>
    <w:rsid w:val="001D683C"/>
    <w:rsid w:val="00202274"/>
    <w:rsid w:val="00204E80"/>
    <w:rsid w:val="00205BE5"/>
    <w:rsid w:val="00234706"/>
    <w:rsid w:val="00235128"/>
    <w:rsid w:val="00293B6F"/>
    <w:rsid w:val="002E6822"/>
    <w:rsid w:val="004058C5"/>
    <w:rsid w:val="00413584"/>
    <w:rsid w:val="00481876"/>
    <w:rsid w:val="004A5B53"/>
    <w:rsid w:val="004B0BE3"/>
    <w:rsid w:val="005018F4"/>
    <w:rsid w:val="00534F5D"/>
    <w:rsid w:val="00536D2B"/>
    <w:rsid w:val="00581794"/>
    <w:rsid w:val="005A6C81"/>
    <w:rsid w:val="005F5910"/>
    <w:rsid w:val="00634E86"/>
    <w:rsid w:val="00652746"/>
    <w:rsid w:val="00661359"/>
    <w:rsid w:val="00680C63"/>
    <w:rsid w:val="0068121F"/>
    <w:rsid w:val="006950C5"/>
    <w:rsid w:val="006971DC"/>
    <w:rsid w:val="006A3405"/>
    <w:rsid w:val="006B3477"/>
    <w:rsid w:val="006D2208"/>
    <w:rsid w:val="00715B61"/>
    <w:rsid w:val="007339E9"/>
    <w:rsid w:val="00743706"/>
    <w:rsid w:val="00767BF3"/>
    <w:rsid w:val="007F1968"/>
    <w:rsid w:val="00816145"/>
    <w:rsid w:val="0082094E"/>
    <w:rsid w:val="00842BA8"/>
    <w:rsid w:val="008525EC"/>
    <w:rsid w:val="00857EE8"/>
    <w:rsid w:val="00865BA0"/>
    <w:rsid w:val="00884099"/>
    <w:rsid w:val="00896AD6"/>
    <w:rsid w:val="008B014C"/>
    <w:rsid w:val="008D0965"/>
    <w:rsid w:val="008F2C2D"/>
    <w:rsid w:val="009550BE"/>
    <w:rsid w:val="00971998"/>
    <w:rsid w:val="00985891"/>
    <w:rsid w:val="009D0EB0"/>
    <w:rsid w:val="00A97B7A"/>
    <w:rsid w:val="00B1742B"/>
    <w:rsid w:val="00B454DD"/>
    <w:rsid w:val="00C314A5"/>
    <w:rsid w:val="00C737C5"/>
    <w:rsid w:val="00C75E74"/>
    <w:rsid w:val="00CA7C4D"/>
    <w:rsid w:val="00CB0823"/>
    <w:rsid w:val="00CC2712"/>
    <w:rsid w:val="00CC5CB0"/>
    <w:rsid w:val="00CC742E"/>
    <w:rsid w:val="00CD563E"/>
    <w:rsid w:val="00CD63D5"/>
    <w:rsid w:val="00D12A19"/>
    <w:rsid w:val="00D533E0"/>
    <w:rsid w:val="00D7388C"/>
    <w:rsid w:val="00DB0DE4"/>
    <w:rsid w:val="00DC6958"/>
    <w:rsid w:val="00DC7818"/>
    <w:rsid w:val="00DD5D13"/>
    <w:rsid w:val="00E02692"/>
    <w:rsid w:val="00EA792A"/>
    <w:rsid w:val="00F0197E"/>
    <w:rsid w:val="00F042CF"/>
    <w:rsid w:val="00F17340"/>
    <w:rsid w:val="00F36AB9"/>
    <w:rsid w:val="00F430B3"/>
    <w:rsid w:val="00F64918"/>
    <w:rsid w:val="00F70D34"/>
    <w:rsid w:val="00F745E9"/>
    <w:rsid w:val="00FC67EA"/>
    <w:rsid w:val="00FD6D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4:docId w14:val="06D06D18"/>
  <w15:chartTrackingRefBased/>
  <w15:docId w15:val="{D5AAB996-5678-49E2-8F82-66EB769A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A97B7A"/>
    <w:rPr>
      <w:sz w:val="16"/>
      <w:szCs w:val="16"/>
    </w:rPr>
  </w:style>
  <w:style w:type="paragraph" w:styleId="CommentText">
    <w:name w:val="annotation text"/>
    <w:basedOn w:val="Normal"/>
    <w:link w:val="CommentTextChar"/>
    <w:rsid w:val="00A97B7A"/>
    <w:rPr>
      <w:sz w:val="20"/>
    </w:rPr>
  </w:style>
  <w:style w:type="character" w:customStyle="1" w:styleId="CommentTextChar">
    <w:name w:val="Comment Text Char"/>
    <w:link w:val="CommentText"/>
    <w:rsid w:val="00A97B7A"/>
    <w:rPr>
      <w:rFonts w:ascii="Arial" w:hAnsi="Arial"/>
      <w:lang w:eastAsia="en-US"/>
    </w:rPr>
  </w:style>
  <w:style w:type="paragraph" w:styleId="CommentSubject">
    <w:name w:val="annotation subject"/>
    <w:basedOn w:val="CommentText"/>
    <w:next w:val="CommentText"/>
    <w:link w:val="CommentSubjectChar"/>
    <w:rsid w:val="00A97B7A"/>
    <w:rPr>
      <w:b/>
      <w:bCs/>
    </w:rPr>
  </w:style>
  <w:style w:type="character" w:customStyle="1" w:styleId="CommentSubjectChar">
    <w:name w:val="Comment Subject Char"/>
    <w:link w:val="CommentSubject"/>
    <w:rsid w:val="00A97B7A"/>
    <w:rPr>
      <w:rFonts w:ascii="Arial" w:hAnsi="Arial"/>
      <w:b/>
      <w:bCs/>
      <w:lang w:eastAsia="en-US"/>
    </w:rPr>
  </w:style>
  <w:style w:type="character" w:customStyle="1" w:styleId="public-draftstyledefault-block">
    <w:name w:val="public-draftstyledefault-block"/>
    <w:basedOn w:val="DefaultParagraphFont"/>
    <w:rsid w:val="00884099"/>
  </w:style>
  <w:style w:type="paragraph" w:styleId="Revision">
    <w:name w:val="Revision"/>
    <w:hidden/>
    <w:uiPriority w:val="99"/>
    <w:semiHidden/>
    <w:rsid w:val="008B014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qs@nzqa.govt.nz" TargetMode="External"/><Relationship Id="rId3" Type="http://schemas.openxmlformats.org/officeDocument/2006/relationships/settings" Target="settings.xml"/><Relationship Id="rId7" Type="http://schemas.openxmlformats.org/officeDocument/2006/relationships/hyperlink" Target="http://www.nzqa.govt.nz/framework/search/index.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347</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548 Demonstrate knowledge of the impact of alcohol and other drugs</vt:lpstr>
    </vt:vector>
  </TitlesOfParts>
  <Manager/>
  <Company>NZ Qualifications Authority</Company>
  <LinksUpToDate>false</LinksUpToDate>
  <CharactersWithSpaces>2351</CharactersWithSpaces>
  <SharedDoc>false</SharedDoc>
  <HyperlinkBase/>
  <HLinks>
    <vt:vector size="12" baseType="variant">
      <vt:variant>
        <vt:i4>3866719</vt:i4>
      </vt:variant>
      <vt:variant>
        <vt:i4>3</vt:i4>
      </vt:variant>
      <vt:variant>
        <vt:i4>0</vt:i4>
      </vt:variant>
      <vt:variant>
        <vt:i4>5</vt:i4>
      </vt:variant>
      <vt:variant>
        <vt:lpwstr>mailto:nqs@nzqa.govt.nz</vt:lpwstr>
      </vt:variant>
      <vt:variant>
        <vt:lpwstr/>
      </vt:variant>
      <vt:variant>
        <vt:i4>1769491</vt:i4>
      </vt:variant>
      <vt:variant>
        <vt:i4>0</vt:i4>
      </vt:variant>
      <vt:variant>
        <vt:i4>0</vt:i4>
      </vt:variant>
      <vt:variant>
        <vt:i4>5</vt:i4>
      </vt:variant>
      <vt:variant>
        <vt:lpwstr>http://www.nzqa.govt.nz/framework/search/index.do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548 Demonstrate knowledge of the impact of alcohol and other drugs</dc:title>
  <dc:subject>Core Generic</dc:subject>
  <dc:creator>NZ Qualifications Authority</dc:creator>
  <cp:keywords/>
  <dc:description/>
  <cp:lastModifiedBy>Michel Norrish</cp:lastModifiedBy>
  <cp:revision>15</cp:revision>
  <cp:lastPrinted>2010-06-04T00:16:00Z</cp:lastPrinted>
  <dcterms:created xsi:type="dcterms:W3CDTF">2021-11-17T23:52:00Z</dcterms:created>
  <dcterms:modified xsi:type="dcterms:W3CDTF">2022-10-09T23:04:00Z</dcterms:modified>
  <cp:category>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_ReviewingToolsShownOnce">
    <vt:lpwstr/>
  </property>
</Properties>
</file>