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3055"/>
        <w:gridCol w:w="1667"/>
        <w:gridCol w:w="3437"/>
      </w:tblGrid>
      <w:tr w:rsidR="00A73F41" w:rsidTr="00EA029A">
        <w:tc>
          <w:tcPr>
            <w:tcW w:w="1731" w:type="dxa"/>
            <w:shd w:val="clear" w:color="auto" w:fill="F2F2F2" w:themeFill="background1" w:themeFillShade="F2"/>
            <w:tcMar>
              <w:top w:w="170" w:type="dxa"/>
              <w:bottom w:w="170" w:type="dxa"/>
            </w:tcMar>
          </w:tcPr>
          <w:p w:rsidR="00A73F41" w:rsidRDefault="2F1CDC98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097" w:type="dxa"/>
            <w:gridSpan w:val="3"/>
            <w:tcMar>
              <w:top w:w="170" w:type="dxa"/>
              <w:bottom w:w="170" w:type="dxa"/>
            </w:tcMar>
          </w:tcPr>
          <w:p w:rsidR="00A73F41" w:rsidRDefault="2F1CDC98" w:rsidP="009846CD">
            <w:pPr>
              <w:rPr>
                <w:b/>
                <w:bCs/>
              </w:rPr>
            </w:pPr>
            <w:r w:rsidRPr="2F1CDC98">
              <w:rPr>
                <w:b/>
                <w:bCs/>
              </w:rPr>
              <w:t>Remove</w:t>
            </w:r>
            <w:r w:rsidR="009846CD">
              <w:rPr>
                <w:b/>
                <w:bCs/>
              </w:rPr>
              <w:t xml:space="preserve">, inspect and refit a </w:t>
            </w:r>
            <w:r w:rsidRPr="2F1CDC98">
              <w:rPr>
                <w:b/>
                <w:bCs/>
              </w:rPr>
              <w:t>cylinder head</w:t>
            </w:r>
          </w:p>
        </w:tc>
      </w:tr>
      <w:tr w:rsidR="00A73F41" w:rsidTr="00EA029A">
        <w:tc>
          <w:tcPr>
            <w:tcW w:w="1731" w:type="dxa"/>
            <w:shd w:val="clear" w:color="auto" w:fill="F2F2F2" w:themeFill="background1" w:themeFillShade="F2"/>
            <w:tcMar>
              <w:top w:w="170" w:type="dxa"/>
              <w:bottom w:w="170" w:type="dxa"/>
            </w:tcMar>
          </w:tcPr>
          <w:p w:rsidR="00A73F41" w:rsidRDefault="2F1CDC98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177" w:type="dxa"/>
            <w:tcMar>
              <w:top w:w="170" w:type="dxa"/>
              <w:bottom w:w="170" w:type="dxa"/>
            </w:tcMar>
          </w:tcPr>
          <w:p w:rsidR="00A73F41" w:rsidRDefault="2F1CDC98" w:rsidP="2F1CDC98">
            <w:pPr>
              <w:rPr>
                <w:b/>
                <w:bCs/>
              </w:rPr>
            </w:pPr>
            <w:r w:rsidRPr="2F1CDC98">
              <w:rPr>
                <w:b/>
                <w:bCs/>
              </w:rPr>
              <w:t>4</w:t>
            </w:r>
          </w:p>
        </w:tc>
        <w:tc>
          <w:tcPr>
            <w:tcW w:w="1729" w:type="dxa"/>
            <w:shd w:val="clear" w:color="auto" w:fill="F2F2F2" w:themeFill="background1" w:themeFillShade="F2"/>
            <w:tcMar>
              <w:top w:w="170" w:type="dxa"/>
              <w:bottom w:w="170" w:type="dxa"/>
            </w:tcMar>
          </w:tcPr>
          <w:p w:rsidR="00A73F41" w:rsidRDefault="2F1CDC98" w:rsidP="2F1CDC98">
            <w:pPr>
              <w:rPr>
                <w:b/>
                <w:bCs/>
                <w:color w:val="000000" w:themeColor="text1"/>
              </w:rPr>
            </w:pPr>
            <w:r w:rsidRPr="2F1CDC98">
              <w:rPr>
                <w:b/>
                <w:bCs/>
              </w:rPr>
              <w:t>Credits</w:t>
            </w:r>
          </w:p>
        </w:tc>
        <w:tc>
          <w:tcPr>
            <w:tcW w:w="3575" w:type="dxa"/>
            <w:tcMar>
              <w:top w:w="170" w:type="dxa"/>
              <w:bottom w:w="170" w:type="dxa"/>
            </w:tcMar>
          </w:tcPr>
          <w:p w:rsidR="00A73F41" w:rsidRDefault="2F1CDC98" w:rsidP="2F1CDC98">
            <w:pPr>
              <w:rPr>
                <w:b/>
                <w:bCs/>
              </w:rPr>
            </w:pPr>
            <w:r w:rsidRPr="2F1CDC98">
              <w:rPr>
                <w:b/>
                <w:bCs/>
              </w:rPr>
              <w:t>4</w:t>
            </w:r>
          </w:p>
        </w:tc>
      </w:tr>
    </w:tbl>
    <w:p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:rsidTr="00EA029A">
        <w:tc>
          <w:tcPr>
            <w:tcW w:w="2868" w:type="dxa"/>
            <w:shd w:val="clear" w:color="auto" w:fill="F2F2F2" w:themeFill="background1" w:themeFillShade="F2"/>
            <w:tcMar>
              <w:top w:w="170" w:type="dxa"/>
              <w:bottom w:w="170" w:type="dxa"/>
            </w:tcMar>
          </w:tcPr>
          <w:p w:rsidR="00A73F41" w:rsidRDefault="2F1CDC98">
            <w:pPr>
              <w:pStyle w:val="StyleBoldBefore6ptAfter6pt"/>
              <w:spacing w:before="0" w:after="0"/>
            </w:pPr>
            <w: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A73F41" w:rsidRDefault="2F1CDC98" w:rsidP="009846CD">
            <w:r>
              <w:t xml:space="preserve">People credited with this unit standard are able </w:t>
            </w:r>
            <w:r w:rsidR="00036602">
              <w:t xml:space="preserve">to </w:t>
            </w:r>
            <w:r>
              <w:t>remove</w:t>
            </w:r>
            <w:r w:rsidR="009846CD">
              <w:t>, inspect</w:t>
            </w:r>
            <w:r>
              <w:t xml:space="preserve"> and refit a cylinder head.</w:t>
            </w:r>
          </w:p>
        </w:tc>
      </w:tr>
    </w:tbl>
    <w:p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:rsidTr="00EA029A">
        <w:tc>
          <w:tcPr>
            <w:tcW w:w="2868" w:type="dxa"/>
            <w:shd w:val="clear" w:color="auto" w:fill="F2F2F2" w:themeFill="background1" w:themeFillShade="F2"/>
            <w:tcMar>
              <w:top w:w="170" w:type="dxa"/>
              <w:bottom w:w="170" w:type="dxa"/>
            </w:tcMar>
          </w:tcPr>
          <w:p w:rsidR="00A73F41" w:rsidRDefault="2F1CDC98">
            <w:pPr>
              <w:pStyle w:val="StyleBoldBefore6ptAfter6pt"/>
              <w:spacing w:before="0" w:after="0"/>
              <w:rPr>
                <w:bCs w:val="0"/>
              </w:rPr>
            </w:pPr>
            <w: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A73F41" w:rsidRDefault="2F1CDC98" w:rsidP="007C5056">
            <w:r>
              <w:t>Motor Industry &gt; Engines</w:t>
            </w:r>
          </w:p>
        </w:tc>
      </w:tr>
    </w:tbl>
    <w:p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:rsidTr="00EA029A">
        <w:tc>
          <w:tcPr>
            <w:tcW w:w="2868" w:type="dxa"/>
            <w:shd w:val="clear" w:color="auto" w:fill="F2F2F2" w:themeFill="background1" w:themeFillShade="F2"/>
            <w:tcMar>
              <w:top w:w="170" w:type="dxa"/>
              <w:bottom w:w="170" w:type="dxa"/>
            </w:tcMar>
          </w:tcPr>
          <w:p w:rsidR="00A73F41" w:rsidRDefault="2F1CDC98">
            <w:pPr>
              <w:pStyle w:val="StyleBoldBefore6ptAfter6pt"/>
              <w:spacing w:before="0" w:after="0"/>
              <w:rPr>
                <w:bCs w:val="0"/>
              </w:rPr>
            </w:pPr>
            <w: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A73F41" w:rsidRDefault="2F1CDC98" w:rsidP="004F4F83">
            <w:r>
              <w:t>Achieved</w:t>
            </w:r>
          </w:p>
        </w:tc>
      </w:tr>
    </w:tbl>
    <w:p w:rsidR="00CB26B0" w:rsidRDefault="00CB26B0">
      <w:pPr>
        <w:rPr>
          <w:rFonts w:cs="Arial"/>
        </w:rPr>
      </w:pPr>
    </w:p>
    <w:p w:rsidR="00A73F41" w:rsidRDefault="2F1CDC98" w:rsidP="2F1CDC98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</w:rPr>
      </w:pPr>
      <w:r w:rsidRPr="2F1CDC98">
        <w:rPr>
          <w:rFonts w:cs="Arial"/>
          <w:b/>
          <w:bCs/>
        </w:rPr>
        <w:t>Guidance Information</w:t>
      </w:r>
    </w:p>
    <w:p w:rsidR="00A73F41" w:rsidRDefault="00A73F41">
      <w:pPr>
        <w:tabs>
          <w:tab w:val="left" w:pos="567"/>
        </w:tabs>
        <w:rPr>
          <w:rFonts w:cs="Arial"/>
        </w:rPr>
      </w:pPr>
    </w:p>
    <w:p w:rsidR="00C73A72" w:rsidRDefault="00623BAE" w:rsidP="00623BAE">
      <w:pPr>
        <w:pStyle w:val="StyleBefore6ptAfter6pt"/>
        <w:spacing w:before="0" w:after="0"/>
        <w:ind w:left="567" w:hanging="567"/>
        <w:rPr>
          <w:rFonts w:eastAsia="Arial" w:cs="Arial"/>
        </w:rPr>
      </w:pPr>
      <w:r>
        <w:rPr>
          <w:rFonts w:eastAsia="Arial" w:cs="Arial"/>
        </w:rPr>
        <w:t>1</w:t>
      </w:r>
      <w:r>
        <w:rPr>
          <w:rFonts w:eastAsia="Arial" w:cs="Arial"/>
        </w:rPr>
        <w:tab/>
      </w:r>
      <w:r w:rsidR="00C73A72" w:rsidRPr="00C73A72">
        <w:rPr>
          <w:rFonts w:eastAsia="Arial" w:cs="Arial"/>
        </w:rPr>
        <w:t>It is recommended that people hold credit for Unit</w:t>
      </w:r>
      <w:r w:rsidR="00B114FA">
        <w:rPr>
          <w:rFonts w:eastAsia="Arial" w:cs="Arial"/>
        </w:rPr>
        <w:t xml:space="preserve"> 30477</w:t>
      </w:r>
      <w:r w:rsidR="008F0708">
        <w:rPr>
          <w:rFonts w:eastAsia="Arial" w:cs="Arial"/>
        </w:rPr>
        <w:t>,</w:t>
      </w:r>
      <w:r w:rsidR="00B114FA">
        <w:rPr>
          <w:rFonts w:eastAsia="Arial" w:cs="Arial"/>
        </w:rPr>
        <w:t xml:space="preserve"> </w:t>
      </w:r>
      <w:r w:rsidR="00B114FA" w:rsidRPr="2F1CDC98">
        <w:rPr>
          <w:rStyle w:val="normaltextrun"/>
          <w:rFonts w:cs="Arial"/>
          <w:i/>
          <w:iCs/>
          <w:color w:val="000000"/>
          <w:bdr w:val="none" w:sz="0" w:space="0" w:color="auto" w:frame="1"/>
        </w:rPr>
        <w:t>Demonstrate knowledge of petrol and diesel engines</w:t>
      </w:r>
      <w:r w:rsidR="00C73A72" w:rsidRPr="00C73A72">
        <w:rPr>
          <w:rFonts w:eastAsia="Arial" w:cs="Arial"/>
        </w:rPr>
        <w:t>, before being assessed against this unit standard.</w:t>
      </w:r>
    </w:p>
    <w:p w:rsidR="00C73A72" w:rsidRDefault="00C73A72" w:rsidP="00C73A72">
      <w:pPr>
        <w:pStyle w:val="StyleBefore6ptAfter6pt"/>
        <w:spacing w:before="0" w:after="0"/>
        <w:rPr>
          <w:rFonts w:eastAsia="Arial" w:cs="Arial"/>
        </w:rPr>
      </w:pPr>
    </w:p>
    <w:p w:rsidR="004F4F83" w:rsidRPr="000C1552" w:rsidRDefault="00623BAE" w:rsidP="00623BAE">
      <w:pPr>
        <w:pStyle w:val="StyleBefore6ptAfter6pt"/>
        <w:spacing w:before="0" w:after="0"/>
        <w:ind w:left="567" w:hanging="567"/>
        <w:rPr>
          <w:rFonts w:eastAsia="Arial" w:cs="Arial"/>
        </w:rPr>
      </w:pPr>
      <w:r>
        <w:rPr>
          <w:rFonts w:eastAsia="Arial" w:cs="Arial"/>
        </w:rPr>
        <w:t>2</w:t>
      </w:r>
      <w:r>
        <w:rPr>
          <w:rFonts w:eastAsia="Arial" w:cs="Arial"/>
        </w:rPr>
        <w:tab/>
      </w:r>
      <w:r w:rsidR="2F1CDC98" w:rsidRPr="2F1CDC98">
        <w:rPr>
          <w:rFonts w:eastAsia="Arial" w:cs="Arial"/>
        </w:rPr>
        <w:t xml:space="preserve">Evidence presented for assessment against this unit standard must be consistent with safe working practices and be in accordance with applicable service information, and company </w:t>
      </w:r>
      <w:r w:rsidR="008F0708">
        <w:rPr>
          <w:rFonts w:eastAsia="Arial" w:cs="Arial"/>
        </w:rPr>
        <w:t xml:space="preserve">requirements </w:t>
      </w:r>
      <w:r w:rsidR="2F1CDC98" w:rsidRPr="2F1CDC98">
        <w:rPr>
          <w:rFonts w:eastAsia="Arial" w:cs="Arial"/>
        </w:rPr>
        <w:t xml:space="preserve">and legislative requirements.  This includes the knowledge and use of suitable tools and equipment. </w:t>
      </w:r>
    </w:p>
    <w:p w:rsidR="004F4F83" w:rsidRDefault="004F4F83" w:rsidP="004F4F83">
      <w:pPr>
        <w:pStyle w:val="StyleBefore6ptAfter6pt"/>
        <w:spacing w:before="0" w:after="0"/>
        <w:ind w:left="567" w:hanging="567"/>
        <w:rPr>
          <w:rFonts w:cs="Arial"/>
        </w:rPr>
      </w:pPr>
    </w:p>
    <w:p w:rsidR="004F4F83" w:rsidRPr="000C1552" w:rsidRDefault="00623BAE" w:rsidP="00623BAE">
      <w:pPr>
        <w:pStyle w:val="StyleBefore6ptAfter6pt"/>
        <w:spacing w:before="0" w:after="0"/>
        <w:ind w:left="567" w:hanging="567"/>
        <w:rPr>
          <w:rFonts w:eastAsia="Arial" w:cs="Arial"/>
        </w:rPr>
      </w:pPr>
      <w:r>
        <w:rPr>
          <w:rFonts w:eastAsia="Arial" w:cs="Arial"/>
        </w:rPr>
        <w:t>3</w:t>
      </w:r>
      <w:r>
        <w:rPr>
          <w:rFonts w:eastAsia="Arial" w:cs="Arial"/>
        </w:rPr>
        <w:tab/>
      </w:r>
      <w:r w:rsidR="2F1CDC98" w:rsidRPr="2F1CDC98">
        <w:rPr>
          <w:rFonts w:eastAsia="Arial" w:cs="Arial"/>
        </w:rPr>
        <w:t>Legislation, regulations and/or industry standards relevant to this unit standard include but are not limited to the current version of the Health and Safety at Work Act 2015; and any subsequent amendments and replacements.</w:t>
      </w:r>
    </w:p>
    <w:p w:rsidR="004F4F83" w:rsidRDefault="004F4F83" w:rsidP="004F4F83">
      <w:pPr>
        <w:pStyle w:val="StyleBefore6ptAfter6pt"/>
        <w:spacing w:before="0" w:after="0"/>
        <w:ind w:left="567" w:hanging="567"/>
        <w:rPr>
          <w:rFonts w:cs="Arial"/>
        </w:rPr>
      </w:pPr>
    </w:p>
    <w:p w:rsidR="004F4F83" w:rsidRPr="000C1552" w:rsidRDefault="00623BAE" w:rsidP="00623BAE">
      <w:pPr>
        <w:pStyle w:val="StyleBefore6ptAfter6pt"/>
        <w:spacing w:before="0" w:after="0"/>
        <w:ind w:left="567" w:hanging="567"/>
        <w:rPr>
          <w:rFonts w:eastAsia="Arial" w:cs="Arial"/>
        </w:rPr>
      </w:pPr>
      <w:r>
        <w:rPr>
          <w:rFonts w:eastAsia="Arial" w:cs="Arial"/>
        </w:rPr>
        <w:t>4</w:t>
      </w:r>
      <w:r>
        <w:rPr>
          <w:rFonts w:eastAsia="Arial" w:cs="Arial"/>
        </w:rPr>
        <w:tab/>
      </w:r>
      <w:r w:rsidR="2F1CDC98" w:rsidRPr="2F1CDC98">
        <w:rPr>
          <w:rFonts w:eastAsia="Arial" w:cs="Arial"/>
        </w:rPr>
        <w:t>Definitions</w:t>
      </w:r>
    </w:p>
    <w:p w:rsidR="004F4F83" w:rsidRPr="000C1552" w:rsidRDefault="2F1CDC98" w:rsidP="2F1CDC98">
      <w:pPr>
        <w:pStyle w:val="StyleBefore6ptAfter6pt"/>
        <w:spacing w:before="0" w:after="0"/>
        <w:ind w:left="567"/>
        <w:rPr>
          <w:rFonts w:eastAsia="Arial" w:cs="Arial"/>
        </w:rPr>
      </w:pPr>
      <w:r w:rsidRPr="2F1CDC98">
        <w:rPr>
          <w:rFonts w:eastAsia="Arial" w:cs="Arial"/>
          <w:i/>
          <w:iCs/>
        </w:rPr>
        <w:t>Company requirements</w:t>
      </w:r>
      <w:r w:rsidRPr="2F1CDC98">
        <w:rPr>
          <w:rFonts w:eastAsia="Arial" w:cs="Arial"/>
        </w:rPr>
        <w:t xml:space="preserve"> refer to instructions to staff on policy and procedures that are available in the workplace.  These requirements may include – company policies and procedures, work instructions, product quality specifications and legislative requirements.</w:t>
      </w:r>
    </w:p>
    <w:p w:rsidR="004F4F83" w:rsidRPr="002F0D9E" w:rsidRDefault="2F1CDC98" w:rsidP="2F1CDC98">
      <w:pPr>
        <w:pStyle w:val="StyleBefore6ptAfter6pt"/>
        <w:spacing w:before="0" w:after="0"/>
        <w:ind w:left="567"/>
        <w:rPr>
          <w:rFonts w:eastAsia="Arial" w:cs="Arial"/>
        </w:rPr>
      </w:pPr>
      <w:r w:rsidRPr="2F1CDC98">
        <w:rPr>
          <w:rFonts w:eastAsia="Arial" w:cs="Arial"/>
          <w:i/>
          <w:iCs/>
        </w:rPr>
        <w:t>Service information</w:t>
      </w:r>
      <w:r w:rsidRPr="2F1CDC98">
        <w:rPr>
          <w:rFonts w:eastAsia="Arial" w:cs="Arial"/>
        </w:rPr>
        <w:t xml:space="preserve"> may include – technical information for a vehicle, machine, or product detailing operation; installation and servicing procedures; manufacturer instructions; technical terms and descriptions; and detailed illustrations.  </w:t>
      </w:r>
    </w:p>
    <w:p w:rsidR="004A7EC9" w:rsidRDefault="004A7EC9" w:rsidP="004A7EC9">
      <w:pPr>
        <w:tabs>
          <w:tab w:val="left" w:pos="567"/>
        </w:tabs>
        <w:rPr>
          <w:rFonts w:cs="Arial"/>
          <w:i/>
          <w:iCs/>
        </w:rPr>
      </w:pPr>
    </w:p>
    <w:p w:rsidR="00A73F41" w:rsidRDefault="004A7EC9" w:rsidP="004A7EC9">
      <w:pPr>
        <w:tabs>
          <w:tab w:val="left" w:pos="567"/>
        </w:tabs>
        <w:ind w:left="567" w:hanging="567"/>
        <w:rPr>
          <w:rFonts w:cs="Arial"/>
        </w:rPr>
      </w:pPr>
      <w:r w:rsidRPr="004A7EC9">
        <w:rPr>
          <w:rFonts w:cs="Arial"/>
          <w:iCs/>
        </w:rPr>
        <w:t>5</w:t>
      </w:r>
      <w:r w:rsidRPr="004A7EC9">
        <w:rPr>
          <w:rFonts w:cs="Arial"/>
          <w:iCs/>
        </w:rPr>
        <w:tab/>
      </w:r>
      <w:r w:rsidR="2F1CDC98" w:rsidRPr="004A7EC9">
        <w:rPr>
          <w:rFonts w:cs="Arial"/>
          <w:iCs/>
        </w:rPr>
        <w:t>Machines</w:t>
      </w:r>
      <w:r w:rsidR="2F1CDC98" w:rsidRPr="2F1CDC98">
        <w:rPr>
          <w:rFonts w:cs="Arial"/>
        </w:rPr>
        <w:t xml:space="preserve"> may include</w:t>
      </w:r>
      <w:r w:rsidR="008F0708">
        <w:rPr>
          <w:rFonts w:cs="Arial"/>
        </w:rPr>
        <w:t xml:space="preserve"> –</w:t>
      </w:r>
      <w:r w:rsidR="2F1CDC98" w:rsidRPr="2F1CDC98">
        <w:rPr>
          <w:rFonts w:cs="Arial"/>
        </w:rPr>
        <w:t xml:space="preserve"> forklifts, earth moving equipment, grader equipment, loaders, dozers, tractors, agricultural equipment, dump trucks, prime movers; electric machines including – forklift, walk-behind pallet, ride-on pallet, reach truck, order picker, counterbalance truck, turret truck.</w:t>
      </w:r>
    </w:p>
    <w:p w:rsidR="00766B07" w:rsidRDefault="00766B07" w:rsidP="00623BAE">
      <w:pPr>
        <w:rPr>
          <w:rFonts w:cs="Arial"/>
        </w:rPr>
      </w:pPr>
    </w:p>
    <w:p w:rsidR="00A73F41" w:rsidRDefault="2F1CDC98" w:rsidP="2F1CDC98">
      <w:pPr>
        <w:pBdr>
          <w:top w:val="single" w:sz="4" w:space="1" w:color="auto"/>
        </w:pBdr>
        <w:tabs>
          <w:tab w:val="left" w:pos="567"/>
        </w:tabs>
        <w:rPr>
          <w:b/>
          <w:bCs/>
          <w:sz w:val="28"/>
          <w:szCs w:val="28"/>
        </w:rPr>
      </w:pPr>
      <w:r w:rsidRPr="2F1CDC98">
        <w:rPr>
          <w:b/>
          <w:bCs/>
          <w:sz w:val="28"/>
          <w:szCs w:val="28"/>
        </w:rPr>
        <w:t>Outcomes and performance criteria</w:t>
      </w:r>
    </w:p>
    <w:p w:rsidR="00A73F41" w:rsidRDefault="00A73F41">
      <w:pPr>
        <w:tabs>
          <w:tab w:val="left" w:pos="567"/>
        </w:tabs>
        <w:rPr>
          <w:rFonts w:cs="Arial"/>
        </w:rPr>
      </w:pPr>
    </w:p>
    <w:p w:rsidR="00A73F41" w:rsidRDefault="2F1CDC98" w:rsidP="2F1CDC98">
      <w:pPr>
        <w:tabs>
          <w:tab w:val="left" w:pos="1134"/>
          <w:tab w:val="left" w:pos="2552"/>
        </w:tabs>
        <w:rPr>
          <w:rFonts w:cs="Arial"/>
          <w:b/>
          <w:bCs/>
        </w:rPr>
      </w:pPr>
      <w:r w:rsidRPr="2F1CDC98">
        <w:rPr>
          <w:rFonts w:cs="Arial"/>
          <w:b/>
          <w:bCs/>
        </w:rPr>
        <w:t>Outcome 1</w:t>
      </w:r>
    </w:p>
    <w:p w:rsidR="00A73F41" w:rsidRDefault="00A73F41">
      <w:pPr>
        <w:tabs>
          <w:tab w:val="left" w:pos="1134"/>
          <w:tab w:val="left" w:pos="2552"/>
        </w:tabs>
        <w:rPr>
          <w:rFonts w:cs="Arial"/>
        </w:rPr>
      </w:pPr>
    </w:p>
    <w:p w:rsidR="00C86D74" w:rsidRDefault="2F1CDC98" w:rsidP="2F1CDC98">
      <w:pPr>
        <w:tabs>
          <w:tab w:val="left" w:pos="1134"/>
          <w:tab w:val="left" w:pos="2552"/>
        </w:tabs>
        <w:ind w:left="1134" w:hanging="1134"/>
        <w:rPr>
          <w:rFonts w:cs="Arial"/>
        </w:rPr>
      </w:pPr>
      <w:r w:rsidRPr="2F1CDC98">
        <w:rPr>
          <w:rFonts w:cs="Arial"/>
        </w:rPr>
        <w:t>Remove</w:t>
      </w:r>
      <w:r w:rsidR="009846CD">
        <w:rPr>
          <w:rFonts w:cs="Arial"/>
        </w:rPr>
        <w:t xml:space="preserve"> and inspect</w:t>
      </w:r>
      <w:r w:rsidRPr="2F1CDC98">
        <w:rPr>
          <w:rFonts w:cs="Arial"/>
        </w:rPr>
        <w:t xml:space="preserve"> a cylinder head.</w:t>
      </w:r>
    </w:p>
    <w:p w:rsidR="005B6BBC" w:rsidRDefault="005B6BBC" w:rsidP="2F1CDC98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:rsidR="005B6BBC" w:rsidRDefault="005B6BBC" w:rsidP="2F1CDC98">
      <w:pPr>
        <w:tabs>
          <w:tab w:val="left" w:pos="1134"/>
          <w:tab w:val="left" w:pos="2552"/>
        </w:tabs>
        <w:ind w:left="1134" w:hanging="1134"/>
        <w:rPr>
          <w:rFonts w:cs="Arial"/>
        </w:rPr>
      </w:pPr>
      <w:r>
        <w:rPr>
          <w:rFonts w:cs="Arial"/>
        </w:rPr>
        <w:t>Range</w:t>
      </w:r>
      <w:r>
        <w:rPr>
          <w:rFonts w:cs="Arial"/>
        </w:rPr>
        <w:tab/>
      </w:r>
      <w:r w:rsidR="007D1F61">
        <w:rPr>
          <w:rFonts w:cs="Arial"/>
        </w:rPr>
        <w:t>e</w:t>
      </w:r>
      <w:r>
        <w:rPr>
          <w:rFonts w:cs="Arial"/>
        </w:rPr>
        <w:t xml:space="preserve">vidence of removing two separate cylinder heads from </w:t>
      </w:r>
      <w:r w:rsidR="00F109D6">
        <w:rPr>
          <w:rFonts w:cs="Arial"/>
        </w:rPr>
        <w:t xml:space="preserve">an </w:t>
      </w:r>
      <w:r>
        <w:rPr>
          <w:rFonts w:cs="Arial"/>
        </w:rPr>
        <w:t>operational engine is required</w:t>
      </w:r>
    </w:p>
    <w:p w:rsidR="00DF64F3" w:rsidRDefault="00DF64F3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:rsidR="00A73F41" w:rsidRDefault="2F1CDC98" w:rsidP="00623BAE">
      <w:pPr>
        <w:keepNext/>
        <w:keepLines/>
        <w:tabs>
          <w:tab w:val="left" w:pos="1134"/>
          <w:tab w:val="left" w:pos="2552"/>
        </w:tabs>
        <w:rPr>
          <w:rFonts w:cs="Arial"/>
          <w:b/>
          <w:bCs/>
        </w:rPr>
      </w:pPr>
      <w:r w:rsidRPr="2F1CDC98">
        <w:rPr>
          <w:rFonts w:cs="Arial"/>
          <w:b/>
          <w:bCs/>
        </w:rPr>
        <w:t xml:space="preserve">Performance criteria </w:t>
      </w:r>
    </w:p>
    <w:p w:rsidR="00A73F41" w:rsidRDefault="00A73F41" w:rsidP="00623BAE">
      <w:pPr>
        <w:keepNext/>
        <w:keepLines/>
        <w:tabs>
          <w:tab w:val="left" w:pos="1134"/>
          <w:tab w:val="left" w:pos="2552"/>
        </w:tabs>
        <w:ind w:left="1134" w:hanging="1134"/>
        <w:rPr>
          <w:rFonts w:cs="Arial"/>
        </w:rPr>
      </w:pPr>
    </w:p>
    <w:p w:rsidR="00A73F41" w:rsidRPr="00DF64F3" w:rsidRDefault="009846CD" w:rsidP="00623BAE">
      <w:pPr>
        <w:pStyle w:val="ListParagraph"/>
        <w:keepNext/>
        <w:keepLines/>
        <w:numPr>
          <w:ilvl w:val="1"/>
          <w:numId w:val="31"/>
        </w:numPr>
        <w:tabs>
          <w:tab w:val="left" w:pos="1134"/>
          <w:tab w:val="left" w:pos="2552"/>
        </w:tabs>
        <w:rPr>
          <w:rFonts w:cs="Arial"/>
        </w:rPr>
      </w:pPr>
      <w:r>
        <w:rPr>
          <w:rFonts w:cs="Arial"/>
        </w:rPr>
        <w:t xml:space="preserve">Cylinder </w:t>
      </w:r>
      <w:r w:rsidR="2F1CDC98" w:rsidRPr="2F1CDC98">
        <w:rPr>
          <w:rFonts w:cs="Arial"/>
        </w:rPr>
        <w:t>head is removed and the block protected against disturbance.</w:t>
      </w:r>
    </w:p>
    <w:p w:rsidR="00DF64F3" w:rsidRDefault="00DF64F3" w:rsidP="00DF64F3">
      <w:pPr>
        <w:tabs>
          <w:tab w:val="left" w:pos="1134"/>
          <w:tab w:val="left" w:pos="2552"/>
        </w:tabs>
        <w:rPr>
          <w:rFonts w:cs="Arial"/>
        </w:rPr>
      </w:pPr>
    </w:p>
    <w:p w:rsidR="009846CD" w:rsidRPr="009846CD" w:rsidRDefault="009846CD" w:rsidP="009846CD">
      <w:pPr>
        <w:tabs>
          <w:tab w:val="left" w:pos="1134"/>
          <w:tab w:val="left" w:pos="2552"/>
        </w:tabs>
        <w:rPr>
          <w:rFonts w:cs="Arial"/>
        </w:rPr>
      </w:pPr>
      <w:r>
        <w:t>1.2</w:t>
      </w:r>
      <w:r>
        <w:tab/>
      </w:r>
      <w:r w:rsidRPr="009846CD">
        <w:rPr>
          <w:rFonts w:cs="Arial"/>
        </w:rPr>
        <w:t xml:space="preserve">Cylinder head and block is cleaned and inspected. </w:t>
      </w:r>
    </w:p>
    <w:p w:rsidR="009846CD" w:rsidRPr="009846CD" w:rsidRDefault="009846CD" w:rsidP="009846CD">
      <w:pPr>
        <w:tabs>
          <w:tab w:val="left" w:pos="1134"/>
          <w:tab w:val="left" w:pos="2552"/>
        </w:tabs>
        <w:rPr>
          <w:rFonts w:cs="Arial"/>
        </w:rPr>
      </w:pPr>
    </w:p>
    <w:p w:rsidR="009846CD" w:rsidRPr="009846CD" w:rsidRDefault="009846CD" w:rsidP="009846CD">
      <w:pPr>
        <w:tabs>
          <w:tab w:val="left" w:pos="1134"/>
          <w:tab w:val="left" w:pos="2552"/>
        </w:tabs>
        <w:ind w:left="2268" w:hanging="2268"/>
        <w:rPr>
          <w:rFonts w:cs="Arial"/>
        </w:rPr>
      </w:pPr>
      <w:r w:rsidRPr="009846CD">
        <w:rPr>
          <w:rFonts w:cs="Arial"/>
        </w:rPr>
        <w:tab/>
        <w:t>Range</w:t>
      </w:r>
      <w:r w:rsidRPr="009846CD">
        <w:rPr>
          <w:rFonts w:cs="Arial"/>
        </w:rPr>
        <w:tab/>
      </w:r>
      <w:r>
        <w:rPr>
          <w:rFonts w:cs="Arial"/>
        </w:rPr>
        <w:t xml:space="preserve">may include </w:t>
      </w:r>
      <w:r w:rsidR="008F0708">
        <w:rPr>
          <w:rFonts w:cs="Arial"/>
        </w:rPr>
        <w:t>–</w:t>
      </w:r>
      <w:r>
        <w:rPr>
          <w:rFonts w:cs="Arial"/>
        </w:rPr>
        <w:t xml:space="preserve"> </w:t>
      </w:r>
      <w:r w:rsidRPr="009846CD">
        <w:rPr>
          <w:rFonts w:cs="Arial"/>
        </w:rPr>
        <w:t>cracks, damage, flatness, wear</w:t>
      </w:r>
      <w:r>
        <w:rPr>
          <w:rFonts w:cs="Arial"/>
        </w:rPr>
        <w:t>, liner protrusion, pistons, cylinders</w:t>
      </w:r>
      <w:r w:rsidR="00CA36E1">
        <w:rPr>
          <w:rFonts w:cs="Arial"/>
        </w:rPr>
        <w:t>, cylinder head bolt serviceability</w:t>
      </w:r>
      <w:r w:rsidR="00CB4698">
        <w:rPr>
          <w:rFonts w:cs="Arial"/>
        </w:rPr>
        <w:t>.</w:t>
      </w:r>
    </w:p>
    <w:p w:rsidR="009846CD" w:rsidRPr="009846CD" w:rsidRDefault="009846CD" w:rsidP="009846CD">
      <w:pPr>
        <w:tabs>
          <w:tab w:val="left" w:pos="1134"/>
          <w:tab w:val="left" w:pos="2552"/>
        </w:tabs>
        <w:rPr>
          <w:rFonts w:cs="Arial"/>
        </w:rPr>
      </w:pPr>
    </w:p>
    <w:p w:rsidR="00A73F41" w:rsidRDefault="2F1CDC98" w:rsidP="2F1CDC98">
      <w:pPr>
        <w:tabs>
          <w:tab w:val="left" w:pos="1134"/>
          <w:tab w:val="left" w:pos="2552"/>
        </w:tabs>
        <w:rPr>
          <w:rFonts w:cs="Arial"/>
          <w:b/>
          <w:bCs/>
        </w:rPr>
      </w:pPr>
      <w:r w:rsidRPr="2F1CDC98">
        <w:rPr>
          <w:rFonts w:cs="Arial"/>
          <w:b/>
          <w:bCs/>
        </w:rPr>
        <w:t>Outcome 2</w:t>
      </w:r>
    </w:p>
    <w:p w:rsidR="00A73F41" w:rsidRDefault="00A73F41">
      <w:pPr>
        <w:tabs>
          <w:tab w:val="left" w:pos="1134"/>
          <w:tab w:val="left" w:pos="2552"/>
        </w:tabs>
        <w:rPr>
          <w:rFonts w:cs="Arial"/>
        </w:rPr>
      </w:pPr>
    </w:p>
    <w:p w:rsidR="00EC59B1" w:rsidRDefault="2F1CDC98" w:rsidP="2F1CDC98">
      <w:pPr>
        <w:tabs>
          <w:tab w:val="left" w:pos="1134"/>
          <w:tab w:val="left" w:pos="2552"/>
        </w:tabs>
        <w:ind w:left="1134" w:hanging="1134"/>
        <w:rPr>
          <w:rFonts w:cs="Arial"/>
        </w:rPr>
      </w:pPr>
      <w:r w:rsidRPr="2F1CDC98">
        <w:rPr>
          <w:rFonts w:cs="Arial"/>
        </w:rPr>
        <w:t>Refit a cylinder head.</w:t>
      </w:r>
    </w:p>
    <w:p w:rsidR="005B6BBC" w:rsidRDefault="005B6BBC" w:rsidP="2F1CDC98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:rsidR="005B6BBC" w:rsidRDefault="005B6BBC" w:rsidP="005B6BBC">
      <w:pPr>
        <w:tabs>
          <w:tab w:val="left" w:pos="1134"/>
          <w:tab w:val="left" w:pos="2552"/>
        </w:tabs>
        <w:ind w:left="1134" w:hanging="1134"/>
        <w:rPr>
          <w:rFonts w:cs="Arial"/>
        </w:rPr>
      </w:pPr>
      <w:r>
        <w:rPr>
          <w:rFonts w:cs="Arial"/>
        </w:rPr>
        <w:t>Range</w:t>
      </w:r>
      <w:r>
        <w:rPr>
          <w:rFonts w:cs="Arial"/>
        </w:rPr>
        <w:tab/>
      </w:r>
      <w:r w:rsidR="007D1F61">
        <w:rPr>
          <w:rFonts w:cs="Arial"/>
        </w:rPr>
        <w:t>e</w:t>
      </w:r>
      <w:r>
        <w:rPr>
          <w:rFonts w:cs="Arial"/>
        </w:rPr>
        <w:t xml:space="preserve">vidence of refitting two separate cylinder heads from </w:t>
      </w:r>
      <w:r w:rsidR="00F109D6">
        <w:rPr>
          <w:rFonts w:cs="Arial"/>
        </w:rPr>
        <w:t xml:space="preserve">an </w:t>
      </w:r>
      <w:r>
        <w:rPr>
          <w:rFonts w:cs="Arial"/>
        </w:rPr>
        <w:t>operational engine is required</w:t>
      </w:r>
    </w:p>
    <w:p w:rsidR="007D1F61" w:rsidRDefault="007D1F61" w:rsidP="005B6BBC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:rsidR="00BD7532" w:rsidRDefault="2F1CDC98" w:rsidP="2F1CDC98">
      <w:pPr>
        <w:tabs>
          <w:tab w:val="left" w:pos="1134"/>
          <w:tab w:val="left" w:pos="2552"/>
        </w:tabs>
        <w:rPr>
          <w:rFonts w:cs="Arial"/>
          <w:b/>
          <w:bCs/>
        </w:rPr>
      </w:pPr>
      <w:r w:rsidRPr="2F1CDC98">
        <w:rPr>
          <w:rFonts w:cs="Arial"/>
          <w:b/>
          <w:bCs/>
        </w:rPr>
        <w:t xml:space="preserve">Performance criteria </w:t>
      </w:r>
    </w:p>
    <w:p w:rsidR="00A73F41" w:rsidRDefault="00A73F41">
      <w:pPr>
        <w:tabs>
          <w:tab w:val="left" w:pos="1134"/>
          <w:tab w:val="left" w:pos="2552"/>
        </w:tabs>
        <w:rPr>
          <w:rFonts w:cs="Arial"/>
        </w:rPr>
      </w:pPr>
    </w:p>
    <w:p w:rsidR="00E53D6D" w:rsidRDefault="00A73F41" w:rsidP="00EC59B1">
      <w:pPr>
        <w:tabs>
          <w:tab w:val="left" w:pos="1134"/>
          <w:tab w:val="left" w:pos="2552"/>
        </w:tabs>
        <w:ind w:left="1134" w:hanging="1134"/>
        <w:rPr>
          <w:rFonts w:cs="Arial"/>
        </w:rPr>
      </w:pPr>
      <w:r>
        <w:rPr>
          <w:rFonts w:cs="Arial"/>
        </w:rPr>
        <w:t>2.1</w:t>
      </w:r>
      <w:r>
        <w:rPr>
          <w:rFonts w:cs="Arial"/>
        </w:rPr>
        <w:tab/>
      </w:r>
      <w:r w:rsidR="00E53D6D">
        <w:rPr>
          <w:rFonts w:cs="Arial"/>
        </w:rPr>
        <w:t>Cylinder head and block are prepared for reassembly.</w:t>
      </w:r>
    </w:p>
    <w:p w:rsidR="009846CD" w:rsidRDefault="009846CD" w:rsidP="00EC59B1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:rsidR="00E53D6D" w:rsidRDefault="009846CD" w:rsidP="2F1CDC98">
      <w:pPr>
        <w:tabs>
          <w:tab w:val="left" w:pos="1134"/>
          <w:tab w:val="left" w:pos="2552"/>
        </w:tabs>
        <w:ind w:left="1134" w:hanging="1134"/>
        <w:rPr>
          <w:rFonts w:cs="Arial"/>
        </w:rPr>
      </w:pPr>
      <w:r>
        <w:rPr>
          <w:rFonts w:cs="Arial"/>
        </w:rPr>
        <w:t>2.2</w:t>
      </w:r>
      <w:r>
        <w:rPr>
          <w:rFonts w:cs="Arial"/>
        </w:rPr>
        <w:tab/>
        <w:t>C</w:t>
      </w:r>
      <w:r w:rsidR="00E53D6D">
        <w:rPr>
          <w:rFonts w:cs="Arial"/>
        </w:rPr>
        <w:t>ylinder head is refitted.</w:t>
      </w:r>
    </w:p>
    <w:p w:rsidR="00A73F41" w:rsidRDefault="00A73F41" w:rsidP="00CB4698">
      <w:pPr>
        <w:tabs>
          <w:tab w:val="left" w:pos="1134"/>
          <w:tab w:val="left" w:pos="2552"/>
        </w:tabs>
        <w:rPr>
          <w:rFonts w:cs="Arial"/>
        </w:rPr>
      </w:pPr>
    </w:p>
    <w:p w:rsidR="00A73F41" w:rsidRDefault="00A73F41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A73F41" w:rsidTr="2F1CDC98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:rsidR="00A73F41" w:rsidRDefault="2F1CDC98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</w:tcPr>
          <w:p w:rsidR="00A73F41" w:rsidRDefault="2F1CDC98">
            <w:pPr>
              <w:pStyle w:val="StyleBefore6ptAfter6pt"/>
              <w:spacing w:before="0" w:after="0"/>
            </w:pPr>
            <w:r>
              <w:t>31 December 2022</w:t>
            </w:r>
          </w:p>
        </w:tc>
      </w:tr>
    </w:tbl>
    <w:p w:rsidR="00A73F41" w:rsidRDefault="00A73F41"/>
    <w:p w:rsidR="00A73F41" w:rsidRDefault="2F1CDC98" w:rsidP="2F1CDC98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  <w:bCs/>
        </w:rPr>
      </w:pPr>
      <w:r w:rsidRPr="2F1CDC98">
        <w:rPr>
          <w:rFonts w:cs="Arial"/>
          <w:b/>
          <w:bCs/>
        </w:rPr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A73F41" w:rsidTr="2F1CDC98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:rsidR="00A73F41" w:rsidRDefault="2F1CDC98" w:rsidP="2F1CDC98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 w:rsidRPr="2F1CDC98"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:rsidR="00A73F41" w:rsidRDefault="2F1CDC98" w:rsidP="2F1CDC98">
            <w:pPr>
              <w:autoSpaceDE w:val="0"/>
              <w:autoSpaceDN w:val="0"/>
              <w:adjustRightInd w:val="0"/>
              <w:rPr>
                <w:rStyle w:val="StyleBold"/>
              </w:rPr>
            </w:pPr>
            <w:r w:rsidRPr="2F1CDC98"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:rsidR="00A73F41" w:rsidRDefault="2F1CDC98" w:rsidP="2F1CDC98">
            <w:pPr>
              <w:autoSpaceDE w:val="0"/>
              <w:autoSpaceDN w:val="0"/>
              <w:adjustRightInd w:val="0"/>
              <w:rPr>
                <w:rStyle w:val="StyleBold"/>
              </w:rPr>
            </w:pPr>
            <w:r w:rsidRPr="2F1CDC98"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:rsidR="00A73F41" w:rsidRDefault="2F1CDC98" w:rsidP="2F1CDC98">
            <w:pPr>
              <w:autoSpaceDE w:val="0"/>
              <w:autoSpaceDN w:val="0"/>
              <w:adjustRightInd w:val="0"/>
              <w:rPr>
                <w:rStyle w:val="StyleBold"/>
              </w:rPr>
            </w:pPr>
            <w:r w:rsidRPr="2F1CDC98">
              <w:rPr>
                <w:rStyle w:val="StyleBold"/>
              </w:rPr>
              <w:t>Last Date for Assessment</w:t>
            </w:r>
          </w:p>
        </w:tc>
      </w:tr>
      <w:tr w:rsidR="00A73F41" w:rsidTr="2F1CDC98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:rsidR="00A73F41" w:rsidRDefault="2F1CDC98" w:rsidP="2F1CDC98">
            <w:pPr>
              <w:keepNext/>
              <w:rPr>
                <w:rFonts w:cs="Arial"/>
              </w:rPr>
            </w:pPr>
            <w:r w:rsidRPr="2F1CDC98"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:rsidR="00A73F41" w:rsidRDefault="2F1CDC98" w:rsidP="2F1CDC98">
            <w:pPr>
              <w:keepNext/>
              <w:rPr>
                <w:rFonts w:cs="Arial"/>
              </w:rPr>
            </w:pPr>
            <w:r w:rsidRPr="2F1CDC98"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:rsidR="00A73F41" w:rsidRDefault="008F070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14 December 2017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:rsidR="00A73F41" w:rsidRDefault="00CB469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A73F41" w:rsidTr="2F1CDC98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:rsidR="00A73F41" w:rsidRDefault="2F1CDC98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</w:tcPr>
          <w:p w:rsidR="00A73F41" w:rsidRDefault="2F1CDC98">
            <w:pPr>
              <w:pStyle w:val="StyleBefore6ptAfter6pt"/>
              <w:keepNext/>
              <w:keepLines/>
              <w:spacing w:before="0" w:after="0"/>
            </w:pPr>
            <w:r>
              <w:t>0014</w:t>
            </w:r>
          </w:p>
        </w:tc>
      </w:tr>
    </w:tbl>
    <w:p w:rsidR="00A73F41" w:rsidRDefault="2F1CDC98" w:rsidP="2F1CDC98">
      <w:pPr>
        <w:keepNext/>
        <w:keepLines/>
        <w:rPr>
          <w:rFonts w:cs="Arial"/>
        </w:rPr>
      </w:pPr>
      <w:r w:rsidRPr="2F1CDC98">
        <w:rPr>
          <w:rFonts w:cs="Arial"/>
        </w:rPr>
        <w:t xml:space="preserve">This CMR can be accessed at </w:t>
      </w:r>
      <w:hyperlink r:id="rId10">
        <w:r w:rsidRPr="2F1CDC98">
          <w:rPr>
            <w:rStyle w:val="Hyperlink"/>
          </w:rPr>
          <w:t>http://www.nzqa.govt.nz/framework/search/index.do</w:t>
        </w:r>
      </w:hyperlink>
      <w:r w:rsidRPr="2F1CDC98">
        <w:rPr>
          <w:rFonts w:cs="Arial"/>
        </w:rPr>
        <w:t>.</w:t>
      </w:r>
    </w:p>
    <w:p w:rsidR="00A73F41" w:rsidRDefault="00A73F41"/>
    <w:p w:rsidR="00A73F41" w:rsidRDefault="2F1CDC98" w:rsidP="2F1CDC98">
      <w:pPr>
        <w:keepNext/>
        <w:keepLines/>
        <w:pBdr>
          <w:top w:val="single" w:sz="4" w:space="1" w:color="auto"/>
        </w:pBdr>
        <w:rPr>
          <w:b/>
          <w:bCs/>
        </w:rPr>
      </w:pPr>
      <w:r w:rsidRPr="2F1CDC98">
        <w:rPr>
          <w:b/>
          <w:bCs/>
        </w:rPr>
        <w:t>Comments on this unit standard</w:t>
      </w:r>
    </w:p>
    <w:p w:rsidR="00A73F41" w:rsidRDefault="00A73F41">
      <w:pPr>
        <w:keepNext/>
        <w:keepLines/>
      </w:pPr>
    </w:p>
    <w:p w:rsidR="004F4F83" w:rsidRPr="004F4F83" w:rsidRDefault="2F1CDC98" w:rsidP="004F4F83">
      <w:pPr>
        <w:keepNext/>
        <w:keepLines/>
      </w:pPr>
      <w:r>
        <w:t xml:space="preserve">Please contact MITO New Zealand Incorporated </w:t>
      </w:r>
      <w:hyperlink r:id="rId11">
        <w:r w:rsidRPr="2F1CDC98">
          <w:rPr>
            <w:rStyle w:val="Hyperlink"/>
          </w:rPr>
          <w:t>info@mito.org.nz</w:t>
        </w:r>
      </w:hyperlink>
      <w:r>
        <w:t xml:space="preserve"> if you wish to suggest changes to the content of this unit standard.</w:t>
      </w:r>
    </w:p>
    <w:p w:rsidR="00A73F41" w:rsidRDefault="00A73F41">
      <w:pPr>
        <w:keepNext/>
        <w:keepLines/>
      </w:pPr>
    </w:p>
    <w:sectPr w:rsidR="00A73F41">
      <w:headerReference w:type="default" r:id="rId12"/>
      <w:footerReference w:type="default" r:id="rId13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9E0" w:rsidRDefault="007A09E0">
      <w:r>
        <w:separator/>
      </w:r>
    </w:p>
  </w:endnote>
  <w:endnote w:type="continuationSeparator" w:id="0">
    <w:p w:rsidR="007A09E0" w:rsidRDefault="007A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7"/>
      <w:gridCol w:w="4821"/>
    </w:tblGrid>
    <w:tr w:rsidR="00A73F41" w:rsidTr="2F1CDC98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A73F41" w:rsidRDefault="00CB4698" w:rsidP="2F1CDC98">
          <w:pPr>
            <w:rPr>
              <w:sz w:val="20"/>
            </w:rPr>
          </w:pPr>
          <w:r>
            <w:rPr>
              <w:sz w:val="20"/>
            </w:rPr>
            <w:t>MITO New Zealand Incorporated</w:t>
          </w:r>
        </w:p>
        <w:p w:rsidR="00A73F41" w:rsidRDefault="2F1CDC98" w:rsidP="2F1CDC98">
          <w:pPr>
            <w:rPr>
              <w:sz w:val="20"/>
            </w:rPr>
          </w:pPr>
          <w:r w:rsidRPr="2F1CDC98">
            <w:rPr>
              <w:sz w:val="20"/>
            </w:rPr>
            <w:t>SSB Code 101542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A73F41" w:rsidRDefault="00A73F41" w:rsidP="2F1CDC98">
          <w:pPr>
            <w:jc w:val="right"/>
            <w:rPr>
              <w:sz w:val="20"/>
            </w:rPr>
          </w:pPr>
          <w: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 w:rsidRPr="2F1CDC98">
            <w:rPr>
              <w:sz w:val="20"/>
            </w:rPr>
            <w:t>New Zealand</w:t>
          </w:r>
          <w:smartTag w:uri="urn:schemas-microsoft-com:office:smarttags" w:element="place">
            <w:smartTag w:uri="urn:schemas-microsoft-com:office:smarttags" w:element="country-region">
              <w:r w:rsidRPr="2F1CDC98">
                <w:rPr>
                  <w:sz w:val="20"/>
                </w:rPr>
                <w:t xml:space="preserve"> Qualifications Authority </w:t>
              </w:r>
            </w:smartTag>
          </w:smartTag>
          <w:r w:rsidRPr="2F1CDC98">
            <w:t>￼</w:t>
          </w:r>
          <w: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7D1F61">
            <w:rPr>
              <w:bCs/>
              <w:noProof/>
              <w:sz w:val="20"/>
            </w:rPr>
            <w:t>2018</w:t>
          </w:r>
          <w:r>
            <w:rPr>
              <w:bCs/>
              <w:sz w:val="20"/>
            </w:rPr>
            <w:fldChar w:fldCharType="end"/>
          </w:r>
        </w:p>
      </w:tc>
    </w:tr>
  </w:tbl>
  <w:p w:rsidR="00A73F41" w:rsidRDefault="00A73F4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9E0" w:rsidRDefault="007A09E0">
      <w:r>
        <w:separator/>
      </w:r>
    </w:p>
  </w:footnote>
  <w:footnote w:type="continuationSeparator" w:id="0">
    <w:p w:rsidR="007A09E0" w:rsidRDefault="007A0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821"/>
      <w:gridCol w:w="4817"/>
    </w:tblGrid>
    <w:tr w:rsidR="00A73F41" w:rsidTr="2F1CDC98">
      <w:tc>
        <w:tcPr>
          <w:tcW w:w="4927" w:type="dxa"/>
          <w:shd w:val="clear" w:color="auto" w:fill="auto"/>
        </w:tcPr>
        <w:p w:rsidR="00A73F41" w:rsidRDefault="2F1CDC98">
          <w:r>
            <w:t>NZQA unit standard</w:t>
          </w:r>
        </w:p>
      </w:tc>
      <w:tc>
        <w:tcPr>
          <w:tcW w:w="4927" w:type="dxa"/>
          <w:shd w:val="clear" w:color="auto" w:fill="auto"/>
        </w:tcPr>
        <w:p w:rsidR="00A73F41" w:rsidRDefault="008D6431" w:rsidP="00202967">
          <w:pPr>
            <w:jc w:val="right"/>
          </w:pPr>
          <w:r>
            <w:t>30888</w:t>
          </w:r>
          <w:r w:rsidR="2F1CDC98">
            <w:t xml:space="preserve"> version 1</w:t>
          </w:r>
        </w:p>
      </w:tc>
    </w:tr>
    <w:tr w:rsidR="00A73F41" w:rsidTr="2F1CDC98">
      <w:tc>
        <w:tcPr>
          <w:tcW w:w="4927" w:type="dxa"/>
          <w:shd w:val="clear" w:color="auto" w:fill="auto"/>
        </w:tcPr>
        <w:p w:rsidR="00A73F41" w:rsidRDefault="00A73F41"/>
      </w:tc>
      <w:tc>
        <w:tcPr>
          <w:tcW w:w="4927" w:type="dxa"/>
          <w:shd w:val="clear" w:color="auto" w:fill="auto"/>
        </w:tcPr>
        <w:p w:rsidR="00A73F41" w:rsidRDefault="2F1CDC98" w:rsidP="001F54BA">
          <w:pPr>
            <w:jc w:val="right"/>
          </w:pPr>
          <w:r>
            <w:t xml:space="preserve">Page </w:t>
          </w:r>
          <w:r w:rsidR="00A73F41" w:rsidRPr="2F1CDC98">
            <w:rPr>
              <w:noProof/>
            </w:rPr>
            <w:fldChar w:fldCharType="begin"/>
          </w:r>
          <w:r w:rsidR="00A73F41" w:rsidRPr="2F1CDC98">
            <w:rPr>
              <w:noProof/>
            </w:rPr>
            <w:instrText xml:space="preserve"> page </w:instrText>
          </w:r>
          <w:r w:rsidR="00A73F41" w:rsidRPr="2F1CDC98">
            <w:rPr>
              <w:noProof/>
            </w:rPr>
            <w:fldChar w:fldCharType="separate"/>
          </w:r>
          <w:r w:rsidR="00E827D1">
            <w:rPr>
              <w:noProof/>
            </w:rPr>
            <w:t>2</w:t>
          </w:r>
          <w:r w:rsidR="00A73F41" w:rsidRPr="2F1CDC98">
            <w:rPr>
              <w:noProof/>
            </w:rPr>
            <w:fldChar w:fldCharType="end"/>
          </w:r>
          <w:r>
            <w:t xml:space="preserve"> of </w:t>
          </w:r>
          <w:r w:rsidR="00A73F41" w:rsidRPr="2F1CDC98">
            <w:rPr>
              <w:noProof/>
            </w:rPr>
            <w:fldChar w:fldCharType="begin"/>
          </w:r>
          <w:r w:rsidR="00A73F41" w:rsidRPr="2F1CDC98">
            <w:rPr>
              <w:noProof/>
            </w:rPr>
            <w:instrText xml:space="preserve"> numpages </w:instrText>
          </w:r>
          <w:r w:rsidR="00A73F41" w:rsidRPr="2F1CDC98">
            <w:rPr>
              <w:noProof/>
            </w:rPr>
            <w:fldChar w:fldCharType="separate"/>
          </w:r>
          <w:r w:rsidR="00E827D1">
            <w:rPr>
              <w:noProof/>
            </w:rPr>
            <w:t>2</w:t>
          </w:r>
          <w:r w:rsidR="00A73F41" w:rsidRPr="2F1CDC98">
            <w:rPr>
              <w:noProof/>
            </w:rPr>
            <w:fldChar w:fldCharType="end"/>
          </w:r>
        </w:p>
      </w:tc>
    </w:tr>
  </w:tbl>
  <w:p w:rsidR="00A73F41" w:rsidRDefault="00A73F41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F0F02"/>
    <w:multiLevelType w:val="multilevel"/>
    <w:tmpl w:val="35986EEC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B44757"/>
    <w:multiLevelType w:val="multilevel"/>
    <w:tmpl w:val="35986EEC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2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5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13C25"/>
    <w:multiLevelType w:val="hybridMultilevel"/>
    <w:tmpl w:val="33F6EE9E"/>
    <w:lvl w:ilvl="0" w:tplc="E9F62ECE">
      <w:start w:val="1"/>
      <w:numFmt w:val="decimal"/>
      <w:lvlText w:val="%1."/>
      <w:lvlJc w:val="left"/>
      <w:pPr>
        <w:ind w:left="720" w:hanging="360"/>
      </w:pPr>
    </w:lvl>
    <w:lvl w:ilvl="1" w:tplc="F6CA4AAE">
      <w:start w:val="1"/>
      <w:numFmt w:val="lowerLetter"/>
      <w:lvlText w:val="%2."/>
      <w:lvlJc w:val="left"/>
      <w:pPr>
        <w:ind w:left="1440" w:hanging="360"/>
      </w:pPr>
    </w:lvl>
    <w:lvl w:ilvl="2" w:tplc="7C381764">
      <w:start w:val="1"/>
      <w:numFmt w:val="lowerRoman"/>
      <w:lvlText w:val="%3."/>
      <w:lvlJc w:val="right"/>
      <w:pPr>
        <w:ind w:left="2160" w:hanging="180"/>
      </w:pPr>
    </w:lvl>
    <w:lvl w:ilvl="3" w:tplc="9A0E79EA">
      <w:start w:val="1"/>
      <w:numFmt w:val="decimal"/>
      <w:lvlText w:val="%4."/>
      <w:lvlJc w:val="left"/>
      <w:pPr>
        <w:ind w:left="2880" w:hanging="360"/>
      </w:pPr>
    </w:lvl>
    <w:lvl w:ilvl="4" w:tplc="A5D8B7FE">
      <w:start w:val="1"/>
      <w:numFmt w:val="lowerLetter"/>
      <w:lvlText w:val="%5."/>
      <w:lvlJc w:val="left"/>
      <w:pPr>
        <w:ind w:left="3600" w:hanging="360"/>
      </w:pPr>
    </w:lvl>
    <w:lvl w:ilvl="5" w:tplc="0332D954">
      <w:start w:val="1"/>
      <w:numFmt w:val="lowerRoman"/>
      <w:lvlText w:val="%6."/>
      <w:lvlJc w:val="right"/>
      <w:pPr>
        <w:ind w:left="4320" w:hanging="180"/>
      </w:pPr>
    </w:lvl>
    <w:lvl w:ilvl="6" w:tplc="1772D05E">
      <w:start w:val="1"/>
      <w:numFmt w:val="decimal"/>
      <w:lvlText w:val="%7."/>
      <w:lvlJc w:val="left"/>
      <w:pPr>
        <w:ind w:left="5040" w:hanging="360"/>
      </w:pPr>
    </w:lvl>
    <w:lvl w:ilvl="7" w:tplc="62E8EEA6">
      <w:start w:val="1"/>
      <w:numFmt w:val="lowerLetter"/>
      <w:lvlText w:val="%8."/>
      <w:lvlJc w:val="left"/>
      <w:pPr>
        <w:ind w:left="5760" w:hanging="360"/>
      </w:pPr>
    </w:lvl>
    <w:lvl w:ilvl="8" w:tplc="0EF8C4E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6"/>
  </w:num>
  <w:num w:numId="5">
    <w:abstractNumId w:val="0"/>
  </w:num>
  <w:num w:numId="6">
    <w:abstractNumId w:val="23"/>
  </w:num>
  <w:num w:numId="7">
    <w:abstractNumId w:val="19"/>
  </w:num>
  <w:num w:numId="8">
    <w:abstractNumId w:val="2"/>
  </w:num>
  <w:num w:numId="9">
    <w:abstractNumId w:val="22"/>
  </w:num>
  <w:num w:numId="10">
    <w:abstractNumId w:val="18"/>
  </w:num>
  <w:num w:numId="11">
    <w:abstractNumId w:val="27"/>
  </w:num>
  <w:num w:numId="12">
    <w:abstractNumId w:val="15"/>
  </w:num>
  <w:num w:numId="13">
    <w:abstractNumId w:val="20"/>
  </w:num>
  <w:num w:numId="14">
    <w:abstractNumId w:val="25"/>
  </w:num>
  <w:num w:numId="15">
    <w:abstractNumId w:val="13"/>
  </w:num>
  <w:num w:numId="16">
    <w:abstractNumId w:val="28"/>
  </w:num>
  <w:num w:numId="17">
    <w:abstractNumId w:val="12"/>
  </w:num>
  <w:num w:numId="18">
    <w:abstractNumId w:val="30"/>
  </w:num>
  <w:num w:numId="19">
    <w:abstractNumId w:val="6"/>
  </w:num>
  <w:num w:numId="20">
    <w:abstractNumId w:val="1"/>
  </w:num>
  <w:num w:numId="21">
    <w:abstractNumId w:val="24"/>
  </w:num>
  <w:num w:numId="22">
    <w:abstractNumId w:val="14"/>
  </w:num>
  <w:num w:numId="23">
    <w:abstractNumId w:val="9"/>
  </w:num>
  <w:num w:numId="24">
    <w:abstractNumId w:val="11"/>
  </w:num>
  <w:num w:numId="25">
    <w:abstractNumId w:val="26"/>
  </w:num>
  <w:num w:numId="26">
    <w:abstractNumId w:val="29"/>
  </w:num>
  <w:num w:numId="27">
    <w:abstractNumId w:val="21"/>
  </w:num>
  <w:num w:numId="28">
    <w:abstractNumId w:val="8"/>
  </w:num>
  <w:num w:numId="29">
    <w:abstractNumId w:val="17"/>
  </w:num>
  <w:num w:numId="30">
    <w:abstractNumId w:val="5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0"/>
  <w:activeWritingStyle w:appName="MSWord" w:lang="en-US" w:vendorID="64" w:dllVersion="6" w:nlCheck="1" w:checkStyle="1"/>
  <w:activeWritingStyle w:appName="MSWord" w:lang="en-NZ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134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58"/>
    <w:rsid w:val="00036602"/>
    <w:rsid w:val="00041F11"/>
    <w:rsid w:val="0007314D"/>
    <w:rsid w:val="00087DCB"/>
    <w:rsid w:val="00147F70"/>
    <w:rsid w:val="00154DB5"/>
    <w:rsid w:val="00173817"/>
    <w:rsid w:val="00184CC4"/>
    <w:rsid w:val="00186D30"/>
    <w:rsid w:val="00190EDB"/>
    <w:rsid w:val="001C641D"/>
    <w:rsid w:val="001F54BA"/>
    <w:rsid w:val="00202967"/>
    <w:rsid w:val="002065B2"/>
    <w:rsid w:val="00242B9F"/>
    <w:rsid w:val="00250047"/>
    <w:rsid w:val="00262DDB"/>
    <w:rsid w:val="002679DA"/>
    <w:rsid w:val="00394910"/>
    <w:rsid w:val="003A28D4"/>
    <w:rsid w:val="003B10A8"/>
    <w:rsid w:val="003F2C91"/>
    <w:rsid w:val="003F45BD"/>
    <w:rsid w:val="004467F8"/>
    <w:rsid w:val="004A5C11"/>
    <w:rsid w:val="004A7EC9"/>
    <w:rsid w:val="004F4F83"/>
    <w:rsid w:val="004F6499"/>
    <w:rsid w:val="00505F9D"/>
    <w:rsid w:val="0055256C"/>
    <w:rsid w:val="00563A11"/>
    <w:rsid w:val="005B6BBC"/>
    <w:rsid w:val="005E0A3B"/>
    <w:rsid w:val="00623BAE"/>
    <w:rsid w:val="00645244"/>
    <w:rsid w:val="006B672E"/>
    <w:rsid w:val="006E3E7E"/>
    <w:rsid w:val="00766B07"/>
    <w:rsid w:val="007A09E0"/>
    <w:rsid w:val="007C3E2F"/>
    <w:rsid w:val="007C5056"/>
    <w:rsid w:val="007D1F61"/>
    <w:rsid w:val="0083228D"/>
    <w:rsid w:val="00881417"/>
    <w:rsid w:val="00884BFC"/>
    <w:rsid w:val="008D6431"/>
    <w:rsid w:val="008F0708"/>
    <w:rsid w:val="009846CD"/>
    <w:rsid w:val="009904EC"/>
    <w:rsid w:val="00996C9E"/>
    <w:rsid w:val="00A017AA"/>
    <w:rsid w:val="00A05F9C"/>
    <w:rsid w:val="00A70C58"/>
    <w:rsid w:val="00A73F41"/>
    <w:rsid w:val="00AD1152"/>
    <w:rsid w:val="00B114FA"/>
    <w:rsid w:val="00B24008"/>
    <w:rsid w:val="00B750B5"/>
    <w:rsid w:val="00BC60EC"/>
    <w:rsid w:val="00BD7532"/>
    <w:rsid w:val="00BF6848"/>
    <w:rsid w:val="00C73A72"/>
    <w:rsid w:val="00C86D74"/>
    <w:rsid w:val="00C9437C"/>
    <w:rsid w:val="00CA1A23"/>
    <w:rsid w:val="00CA36E1"/>
    <w:rsid w:val="00CB26B0"/>
    <w:rsid w:val="00CB4698"/>
    <w:rsid w:val="00DC3918"/>
    <w:rsid w:val="00DF64F3"/>
    <w:rsid w:val="00E53D6D"/>
    <w:rsid w:val="00E60CCA"/>
    <w:rsid w:val="00E827D1"/>
    <w:rsid w:val="00EA029A"/>
    <w:rsid w:val="00EC59B1"/>
    <w:rsid w:val="00EE3E61"/>
    <w:rsid w:val="00EF097C"/>
    <w:rsid w:val="00F109D6"/>
    <w:rsid w:val="00F93EB3"/>
    <w:rsid w:val="2F1CD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C4F989B"/>
  <w15:chartTrackingRefBased/>
  <w15:docId w15:val="{B21F62AD-244E-4E1E-B74E-019C9DD3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BodyText">
    <w:name w:val="Body Text"/>
    <w:basedOn w:val="Normal"/>
    <w:pPr>
      <w:spacing w:after="1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sid w:val="00E60CCA"/>
    <w:rPr>
      <w:rFonts w:ascii="Arial" w:hAnsi="Arial"/>
      <w:sz w:val="24"/>
      <w:lang w:eastAsia="en-US"/>
    </w:rPr>
  </w:style>
  <w:style w:type="character" w:customStyle="1" w:styleId="normaltextrun">
    <w:name w:val="normaltextrun"/>
    <w:basedOn w:val="DefaultParagraphFont"/>
    <w:rsid w:val="00B114FA"/>
  </w:style>
  <w:style w:type="paragraph" w:styleId="ListParagraph">
    <w:name w:val="List Paragraph"/>
    <w:basedOn w:val="Normal"/>
    <w:uiPriority w:val="34"/>
    <w:qFormat/>
    <w:rsid w:val="00A01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mito.org.n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nzqa.govt.nz/framework/search/index.d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E6221A4FD1D4EBF7979B0D8717779" ma:contentTypeVersion="6" ma:contentTypeDescription="Create a new document." ma:contentTypeScope="" ma:versionID="ff49e904b0305dd3f5c72bf945cd9db5">
  <xsd:schema xmlns:xsd="http://www.w3.org/2001/XMLSchema" xmlns:xs="http://www.w3.org/2001/XMLSchema" xmlns:p="http://schemas.microsoft.com/office/2006/metadata/properties" xmlns:ns2="f86a351b-f0af-42be-bb70-79982ec59e52" xmlns:ns3="62e07033-edef-4719-9d25-d7f839bb96db" targetNamespace="http://schemas.microsoft.com/office/2006/metadata/properties" ma:root="true" ma:fieldsID="018892619ab16918ac14a84d467f80f1" ns2:_="" ns3:_="">
    <xsd:import namespace="f86a351b-f0af-42be-bb70-79982ec59e52"/>
    <xsd:import namespace="62e07033-edef-4719-9d25-d7f839bb96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a351b-f0af-42be-bb70-79982ec59e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07033-edef-4719-9d25-d7f839bb96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DD5E2D-0B1F-4A00-B5A3-AF1AE856CC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DA7BA5-D2B2-42D6-941C-31EB48381A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6D58CA-5F5D-46E2-967F-993144741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6a351b-f0af-42be-bb70-79982ec59e52"/>
    <ds:schemaRef ds:uri="62e07033-edef-4719-9d25-d7f839bb96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5B5F3FB5.dotm</Template>
  <TotalTime>2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NZQA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Grumball (MITO)</dc:creator>
  <cp:keywords/>
  <cp:lastModifiedBy>Kathryn Henderson</cp:lastModifiedBy>
  <cp:revision>2</cp:revision>
  <cp:lastPrinted>2010-06-03T23:16:00Z</cp:lastPrinted>
  <dcterms:created xsi:type="dcterms:W3CDTF">2018-02-12T22:36:00Z</dcterms:created>
  <dcterms:modified xsi:type="dcterms:W3CDTF">2018-02-12T22:36:00Z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2</vt:i4>
  </property>
  <property fmtid="{D5CDD505-2E9C-101B-9397-08002B2CF9AE}" pid="4" name="_TemplateLanguage">
    <vt:lpwstr>English</vt:lpwstr>
  </property>
  <property fmtid="{D5CDD505-2E9C-101B-9397-08002B2CF9AE}" pid="5" name="ContentTypeId">
    <vt:lpwstr>0x01010076BE6221A4FD1D4EBF7979B0D8717779</vt:lpwstr>
  </property>
</Properties>
</file>